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69" w:rsidRPr="00640B5C" w:rsidRDefault="00612C05" w:rsidP="00640B5C">
      <w:pPr>
        <w:framePr w:w="2379" w:hSpace="181" w:wrap="around" w:vAnchor="page" w:hAnchor="page" w:x="8702" w:y="5266" w:anchorLock="1"/>
        <w:ind w:right="162"/>
        <w:jc w:val="right"/>
        <w:rPr>
          <w:rFonts w:cs="Calibri"/>
          <w:sz w:val="20"/>
        </w:rPr>
      </w:pPr>
      <w:r w:rsidRPr="00640B5C">
        <w:rPr>
          <w:rFonts w:cs="Calibri"/>
          <w:sz w:val="20"/>
        </w:rPr>
        <w:fldChar w:fldCharType="begin"/>
      </w:r>
      <w:r w:rsidR="003547E3" w:rsidRPr="00640B5C">
        <w:rPr>
          <w:rFonts w:cs="Calibri"/>
          <w:sz w:val="20"/>
        </w:rPr>
        <w:instrText xml:space="preserve"> CREATEDATE \@ "d. MMMM yyyy" </w:instrText>
      </w:r>
      <w:r w:rsidRPr="00640B5C">
        <w:rPr>
          <w:rFonts w:cs="Calibri"/>
          <w:sz w:val="20"/>
        </w:rPr>
        <w:fldChar w:fldCharType="separate"/>
      </w:r>
      <w:r w:rsidR="00382DCC">
        <w:rPr>
          <w:rFonts w:cs="Calibri"/>
          <w:noProof/>
          <w:sz w:val="20"/>
        </w:rPr>
        <w:t xml:space="preserve">20. </w:t>
      </w:r>
      <w:r w:rsidR="00404178">
        <w:rPr>
          <w:rFonts w:cs="Calibri"/>
          <w:noProof/>
          <w:sz w:val="20"/>
        </w:rPr>
        <w:t>Juni 2015</w:t>
      </w:r>
      <w:r w:rsidRPr="00640B5C">
        <w:rPr>
          <w:rFonts w:cs="Calibri"/>
          <w:sz w:val="20"/>
        </w:rPr>
        <w:fldChar w:fldCharType="end"/>
      </w:r>
    </w:p>
    <w:p w:rsidR="00B00476" w:rsidRPr="00E77850" w:rsidRDefault="00B00476">
      <w:pPr>
        <w:rPr>
          <w:sz w:val="22"/>
          <w:szCs w:val="22"/>
          <w:u w:val="single"/>
        </w:rPr>
      </w:pPr>
    </w:p>
    <w:p w:rsidR="00EF7FD5" w:rsidRDefault="00EF7FD5" w:rsidP="00E87407">
      <w:pPr>
        <w:rPr>
          <w:rFonts w:cs="Calibri"/>
          <w:szCs w:val="24"/>
        </w:rPr>
      </w:pPr>
      <w:bookmarkStart w:id="0" w:name="anfang"/>
      <w:bookmarkEnd w:id="0"/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Default="00382DCC" w:rsidP="00E87407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Wer nicht aufräumt, kann nicht (neu) anfangen – </w:t>
      </w:r>
    </w:p>
    <w:p w:rsidR="00382DCC" w:rsidRDefault="00382DCC" w:rsidP="00E87407">
      <w:pPr>
        <w:rPr>
          <w:rFonts w:cs="Calibri"/>
          <w:b/>
          <w:szCs w:val="24"/>
        </w:rPr>
      </w:pPr>
      <w:r>
        <w:rPr>
          <w:rFonts w:cs="Calibri"/>
          <w:b/>
          <w:szCs w:val="24"/>
        </w:rPr>
        <w:t>Bürgerbeteiligung geht nur mit Vergangenheitsbewältigung</w:t>
      </w:r>
    </w:p>
    <w:p w:rsidR="00382DCC" w:rsidRDefault="00382DCC" w:rsidP="00E87407">
      <w:pPr>
        <w:rPr>
          <w:rFonts w:cs="Calibri"/>
          <w:b/>
          <w:szCs w:val="24"/>
        </w:rPr>
      </w:pPr>
    </w:p>
    <w:p w:rsidR="00382DCC" w:rsidRDefault="00382DCC" w:rsidP="00E87407">
      <w:pPr>
        <w:rPr>
          <w:rFonts w:cs="Calibri"/>
          <w:szCs w:val="24"/>
        </w:rPr>
      </w:pPr>
    </w:p>
    <w:p w:rsidR="00382DCC" w:rsidRPr="00C31C15" w:rsidRDefault="00382DCC" w:rsidP="00382DC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C31C15">
        <w:rPr>
          <w:rFonts w:cs="Calibri"/>
          <w:i/>
          <w:szCs w:val="24"/>
        </w:rPr>
        <w:t>Die Konflikte sind da</w:t>
      </w:r>
    </w:p>
    <w:p w:rsidR="00C31C15" w:rsidRDefault="00C31C15" w:rsidP="00C31C15">
      <w:pPr>
        <w:pStyle w:val="Listenabsatz"/>
        <w:rPr>
          <w:rFonts w:cs="Calibri"/>
          <w:szCs w:val="24"/>
        </w:rPr>
      </w:pPr>
    </w:p>
    <w:p w:rsidR="00382DCC" w:rsidRDefault="00382DCC" w:rsidP="00382DC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40 Jahre Geheimhaltung, Desinformation, Manipulation, Verharmlosung, Polizeigewalt</w:t>
      </w:r>
    </w:p>
    <w:p w:rsidR="00382DCC" w:rsidRDefault="00382DCC" w:rsidP="00382DCC">
      <w:pPr>
        <w:ind w:left="360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können</w:t>
      </w:r>
      <w:proofErr w:type="gramEnd"/>
      <w:r>
        <w:rPr>
          <w:rFonts w:cs="Calibri"/>
          <w:szCs w:val="24"/>
        </w:rPr>
        <w:t xml:space="preserve"> nicht unter den Teppich gekehrt werden. Sie vergiften das Miteinander und müssen aufgearbeitet werden.</w:t>
      </w:r>
    </w:p>
    <w:p w:rsidR="00382DCC" w:rsidRDefault="00382DCC" w:rsidP="00382DCC">
      <w:pPr>
        <w:ind w:left="360"/>
        <w:rPr>
          <w:rFonts w:cs="Calibri"/>
          <w:szCs w:val="24"/>
        </w:rPr>
      </w:pPr>
    </w:p>
    <w:p w:rsidR="00382DCC" w:rsidRPr="00C31C15" w:rsidRDefault="00382DCC" w:rsidP="00382DC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C31C15">
        <w:rPr>
          <w:rFonts w:cs="Calibri"/>
          <w:i/>
          <w:szCs w:val="24"/>
        </w:rPr>
        <w:t>„N</w:t>
      </w:r>
      <w:r w:rsidR="00C31C15" w:rsidRPr="00C31C15">
        <w:rPr>
          <w:rFonts w:cs="Calibri"/>
          <w:i/>
          <w:szCs w:val="24"/>
        </w:rPr>
        <w:t>eustart in der Atommüll-Debatte</w:t>
      </w:r>
      <w:r w:rsidRPr="00C31C15">
        <w:rPr>
          <w:rFonts w:cs="Calibri"/>
          <w:i/>
          <w:szCs w:val="24"/>
        </w:rPr>
        <w:t>“</w:t>
      </w:r>
    </w:p>
    <w:p w:rsidR="00C31C15" w:rsidRDefault="00C31C15" w:rsidP="00C31C15">
      <w:pPr>
        <w:pStyle w:val="Listenabsatz"/>
        <w:rPr>
          <w:rFonts w:cs="Calibri"/>
          <w:szCs w:val="24"/>
        </w:rPr>
      </w:pPr>
    </w:p>
    <w:p w:rsidR="00382DCC" w:rsidRDefault="00C31C15" w:rsidP="00382DCC">
      <w:pPr>
        <w:ind w:left="360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Unter  dem</w:t>
      </w:r>
      <w:proofErr w:type="gramEnd"/>
      <w:r>
        <w:rPr>
          <w:rFonts w:cs="Calibri"/>
          <w:szCs w:val="24"/>
        </w:rPr>
        <w:t xml:space="preserve"> </w:t>
      </w:r>
      <w:proofErr w:type="spellStart"/>
      <w:r>
        <w:rPr>
          <w:rFonts w:cs="Calibri"/>
          <w:szCs w:val="24"/>
        </w:rPr>
        <w:t>label</w:t>
      </w:r>
      <w:proofErr w:type="spellEnd"/>
      <w:r>
        <w:rPr>
          <w:rFonts w:cs="Calibri"/>
          <w:szCs w:val="24"/>
        </w:rPr>
        <w:t xml:space="preserve"> </w:t>
      </w:r>
      <w:r w:rsidR="00382DCC">
        <w:rPr>
          <w:rFonts w:cs="Calibri"/>
          <w:szCs w:val="24"/>
        </w:rPr>
        <w:t xml:space="preserve">„Bürgerbeteiligung“ oder „Dialog“ </w:t>
      </w:r>
      <w:r>
        <w:rPr>
          <w:rFonts w:cs="Calibri"/>
          <w:szCs w:val="24"/>
        </w:rPr>
        <w:t xml:space="preserve"> liefen </w:t>
      </w:r>
      <w:r w:rsidR="00382DCC">
        <w:rPr>
          <w:rFonts w:cs="Calibri"/>
          <w:szCs w:val="24"/>
        </w:rPr>
        <w:t xml:space="preserve">in der Vergangenheit </w:t>
      </w:r>
      <w:proofErr w:type="spellStart"/>
      <w:r>
        <w:rPr>
          <w:rFonts w:cs="Calibri"/>
          <w:szCs w:val="24"/>
        </w:rPr>
        <w:t>akzeptan</w:t>
      </w:r>
      <w:r>
        <w:rPr>
          <w:rFonts w:cs="Calibri"/>
          <w:szCs w:val="24"/>
        </w:rPr>
        <w:t>z</w:t>
      </w:r>
      <w:r>
        <w:rPr>
          <w:rFonts w:cs="Calibri"/>
          <w:szCs w:val="24"/>
        </w:rPr>
        <w:t>beschaffung</w:t>
      </w:r>
      <w:proofErr w:type="spellEnd"/>
      <w:r>
        <w:rPr>
          <w:rFonts w:cs="Calibri"/>
          <w:szCs w:val="24"/>
        </w:rPr>
        <w:t xml:space="preserve">, </w:t>
      </w:r>
      <w:r w:rsidR="00382DCC">
        <w:rPr>
          <w:rFonts w:cs="Calibri"/>
          <w:szCs w:val="24"/>
        </w:rPr>
        <w:t>Manipulation oder Pseudo-Dialog. Begründete Einwände wurden nicht wir</w:t>
      </w:r>
      <w:r w:rsidR="00382DCC">
        <w:rPr>
          <w:rFonts w:cs="Calibri"/>
          <w:szCs w:val="24"/>
        </w:rPr>
        <w:t>k</w:t>
      </w:r>
      <w:r w:rsidR="00382DCC">
        <w:rPr>
          <w:rFonts w:cs="Calibri"/>
          <w:szCs w:val="24"/>
        </w:rPr>
        <w:t>lich gehört, die Ergebnisse standen fest, nur die Legitimierung wurde nachträglich ve</w:t>
      </w:r>
      <w:r w:rsidR="00382DCC">
        <w:rPr>
          <w:rFonts w:cs="Calibri"/>
          <w:szCs w:val="24"/>
        </w:rPr>
        <w:t>r</w:t>
      </w:r>
      <w:r w:rsidR="00382DCC">
        <w:rPr>
          <w:rFonts w:cs="Calibri"/>
          <w:szCs w:val="24"/>
        </w:rPr>
        <w:t xml:space="preserve">sucht. Echte Beteiligung braucht gemeinsame Fragen, gemeinsame  Bewertungen, gemeinsame Ziele (welche Lageroptionen sind </w:t>
      </w:r>
      <w:proofErr w:type="spellStart"/>
      <w:r w:rsidR="00382DCC">
        <w:rPr>
          <w:rFonts w:cs="Calibri"/>
          <w:szCs w:val="24"/>
        </w:rPr>
        <w:t>vetretbar</w:t>
      </w:r>
      <w:proofErr w:type="spellEnd"/>
      <w:r w:rsidR="00382DCC">
        <w:rPr>
          <w:rFonts w:cs="Calibri"/>
          <w:szCs w:val="24"/>
        </w:rPr>
        <w:t xml:space="preserve">, was bedeutet „sichere Verwahrung“, </w:t>
      </w:r>
      <w:r w:rsidR="00382DCC" w:rsidRPr="00382DCC">
        <w:rPr>
          <w:rFonts w:cs="Calibri"/>
          <w:szCs w:val="24"/>
        </w:rPr>
        <w:t xml:space="preserve"> </w:t>
      </w:r>
      <w:r w:rsidR="00382DCC">
        <w:rPr>
          <w:rFonts w:cs="Calibri"/>
          <w:szCs w:val="24"/>
        </w:rPr>
        <w:t>was ist s</w:t>
      </w:r>
      <w:r w:rsidR="00382DCC">
        <w:rPr>
          <w:rFonts w:cs="Calibri"/>
          <w:szCs w:val="24"/>
        </w:rPr>
        <w:t>i</w:t>
      </w:r>
      <w:r w:rsidR="00382DCC">
        <w:rPr>
          <w:rFonts w:cs="Calibri"/>
          <w:szCs w:val="24"/>
        </w:rPr>
        <w:t>cher genug…</w:t>
      </w:r>
      <w:r>
        <w:rPr>
          <w:rFonts w:cs="Calibri"/>
          <w:szCs w:val="24"/>
        </w:rPr>
        <w:t>.) und eine neutrale, gemeinsam gewählte oder akzeptierte Moderation.</w:t>
      </w:r>
    </w:p>
    <w:p w:rsidR="00382DCC" w:rsidRDefault="00382DCC" w:rsidP="00382DC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Der Umgang mit den Bürgerinnen und Bürgern in der Vergangenheit hindert einen Neua</w:t>
      </w:r>
      <w:r>
        <w:rPr>
          <w:rFonts w:cs="Calibri"/>
          <w:szCs w:val="24"/>
        </w:rPr>
        <w:t>n</w:t>
      </w:r>
      <w:r>
        <w:rPr>
          <w:rFonts w:cs="Calibri"/>
          <w:szCs w:val="24"/>
        </w:rPr>
        <w:t xml:space="preserve">fang – ohne Blick zurück fehlt </w:t>
      </w:r>
      <w:r w:rsidR="00C31C15">
        <w:rPr>
          <w:rFonts w:cs="Calibri"/>
          <w:szCs w:val="24"/>
        </w:rPr>
        <w:t xml:space="preserve">jedem „Dialog“ </w:t>
      </w:r>
      <w:r>
        <w:rPr>
          <w:rFonts w:cs="Calibri"/>
          <w:szCs w:val="24"/>
        </w:rPr>
        <w:t>die Glaubwürdigkeit</w:t>
      </w:r>
      <w:r w:rsidR="00C31C15">
        <w:rPr>
          <w:rFonts w:cs="Calibri"/>
          <w:szCs w:val="24"/>
        </w:rPr>
        <w:t>.</w:t>
      </w:r>
    </w:p>
    <w:p w:rsidR="00382DCC" w:rsidRPr="00C31C15" w:rsidRDefault="00382DCC" w:rsidP="00382DCC">
      <w:pPr>
        <w:rPr>
          <w:rFonts w:cs="Calibri"/>
          <w:i/>
          <w:szCs w:val="24"/>
        </w:rPr>
      </w:pPr>
    </w:p>
    <w:p w:rsidR="00382DCC" w:rsidRPr="00C31C15" w:rsidRDefault="00382DCC" w:rsidP="00382DC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C31C15">
        <w:rPr>
          <w:rFonts w:cs="Calibri"/>
          <w:i/>
          <w:szCs w:val="24"/>
        </w:rPr>
        <w:t>Die Konflikte haben Ursachen</w:t>
      </w:r>
    </w:p>
    <w:p w:rsidR="00C31C15" w:rsidRPr="00C31C15" w:rsidRDefault="00C31C15" w:rsidP="00C31C15">
      <w:pPr>
        <w:pStyle w:val="Listenabsatz"/>
        <w:rPr>
          <w:rFonts w:cs="Calibri"/>
          <w:b/>
          <w:szCs w:val="24"/>
        </w:rPr>
      </w:pPr>
    </w:p>
    <w:p w:rsidR="00382DCC" w:rsidRDefault="00382DCC" w:rsidP="00382DC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Die gesellschaftlichen Auseinandersetzungen sind nicht vom Himmel gefallen. Sie haben U</w:t>
      </w:r>
      <w:r>
        <w:rPr>
          <w:rFonts w:cs="Calibri"/>
          <w:szCs w:val="24"/>
        </w:rPr>
        <w:t>r</w:t>
      </w:r>
      <w:r>
        <w:rPr>
          <w:rFonts w:cs="Calibri"/>
          <w:szCs w:val="24"/>
        </w:rPr>
        <w:t>sachen: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 xml:space="preserve">die militärische Verwendung 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die enormen Risiken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die einseitige Risikobewertung, die Verharmlosung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Geheimhaltung und Intransparenz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Macht statt Recht und Bürgerwillen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Polizeigewalt statt gesellschaftlichem Diskurs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Atomnutzung ohne Entsorgungssicherheit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proofErr w:type="spellStart"/>
      <w:r>
        <w:rPr>
          <w:rFonts w:cs="Calibri"/>
          <w:szCs w:val="24"/>
        </w:rPr>
        <w:t>Delegitimierung</w:t>
      </w:r>
      <w:proofErr w:type="spellEnd"/>
      <w:r>
        <w:rPr>
          <w:rFonts w:cs="Calibri"/>
          <w:szCs w:val="24"/>
        </w:rPr>
        <w:t xml:space="preserve"> von Wissenschaft und Wissenschaftlern</w:t>
      </w:r>
    </w:p>
    <w:p w:rsidR="00382DCC" w:rsidRDefault="00382DCC" w:rsidP="00382DCC">
      <w:pPr>
        <w:pStyle w:val="Listenabsatz"/>
        <w:numPr>
          <w:ilvl w:val="0"/>
          <w:numId w:val="2"/>
        </w:numPr>
        <w:rPr>
          <w:rFonts w:cs="Calibri"/>
          <w:szCs w:val="24"/>
        </w:rPr>
      </w:pPr>
      <w:r>
        <w:rPr>
          <w:rFonts w:cs="Calibri"/>
          <w:szCs w:val="24"/>
        </w:rPr>
        <w:t>Abwälzen der Risiken und der Kosten von den Verursachern auf die Allgemei</w:t>
      </w:r>
      <w:r>
        <w:rPr>
          <w:rFonts w:cs="Calibri"/>
          <w:szCs w:val="24"/>
        </w:rPr>
        <w:t>n</w:t>
      </w:r>
      <w:r>
        <w:rPr>
          <w:rFonts w:cs="Calibri"/>
          <w:szCs w:val="24"/>
        </w:rPr>
        <w:t>heit und die nachfolgenden Generationen</w:t>
      </w:r>
    </w:p>
    <w:p w:rsidR="00C31C15" w:rsidRDefault="00C31C15" w:rsidP="00C31C15">
      <w:pPr>
        <w:pStyle w:val="Listenabsatz"/>
        <w:ind w:left="1480"/>
        <w:rPr>
          <w:rFonts w:cs="Calibri"/>
          <w:szCs w:val="24"/>
        </w:rPr>
      </w:pPr>
    </w:p>
    <w:p w:rsidR="00C31C15" w:rsidRDefault="00C31C15" w:rsidP="00C31C15">
      <w:pPr>
        <w:pStyle w:val="Listenabsatz"/>
        <w:ind w:left="1480"/>
        <w:rPr>
          <w:rFonts w:cs="Calibri"/>
          <w:szCs w:val="24"/>
        </w:rPr>
      </w:pPr>
    </w:p>
    <w:p w:rsidR="00382DCC" w:rsidRPr="00C31C15" w:rsidRDefault="00382DCC" w:rsidP="00382DC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C31C15">
        <w:rPr>
          <w:rFonts w:cs="Calibri"/>
          <w:i/>
          <w:szCs w:val="24"/>
        </w:rPr>
        <w:t>„Wahrheitskommission“</w:t>
      </w:r>
    </w:p>
    <w:p w:rsidR="00C31C15" w:rsidRDefault="00C31C15" w:rsidP="00C31C15">
      <w:pPr>
        <w:pStyle w:val="Listenabsatz"/>
        <w:rPr>
          <w:rFonts w:cs="Calibri"/>
          <w:szCs w:val="24"/>
        </w:rPr>
      </w:pPr>
    </w:p>
    <w:p w:rsidR="00382DCC" w:rsidRDefault="00F975FC" w:rsidP="00382DC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 xml:space="preserve">Fehler müssen anerkannt, Unrecht </w:t>
      </w:r>
      <w:proofErr w:type="spellStart"/>
      <w:r>
        <w:rPr>
          <w:rFonts w:cs="Calibri"/>
          <w:szCs w:val="24"/>
        </w:rPr>
        <w:t>muß</w:t>
      </w:r>
      <w:proofErr w:type="spellEnd"/>
      <w:r>
        <w:rPr>
          <w:rFonts w:cs="Calibri"/>
          <w:szCs w:val="24"/>
        </w:rPr>
        <w:t xml:space="preserve"> benannt werden. Verursacher müssen Verantwo</w:t>
      </w:r>
      <w:r>
        <w:rPr>
          <w:rFonts w:cs="Calibri"/>
          <w:szCs w:val="24"/>
        </w:rPr>
        <w:t>r</w:t>
      </w:r>
      <w:r>
        <w:rPr>
          <w:rFonts w:cs="Calibri"/>
          <w:szCs w:val="24"/>
        </w:rPr>
        <w:t>tung übernehmen. Die Rolle der Politik, die Rolle der EVU, die Rolle der Wissenschaft, die Rolle der Großforschungsinstitute und der Bundeseinrich</w:t>
      </w:r>
      <w:r w:rsidR="00C31C15">
        <w:rPr>
          <w:rFonts w:cs="Calibri"/>
          <w:szCs w:val="24"/>
        </w:rPr>
        <w:t>tungen gehören</w:t>
      </w:r>
      <w:r>
        <w:rPr>
          <w:rFonts w:cs="Calibri"/>
          <w:szCs w:val="24"/>
        </w:rPr>
        <w:t xml:space="preserve"> auf den Prüfstand.</w:t>
      </w:r>
    </w:p>
    <w:p w:rsidR="00C31C15" w:rsidRDefault="00593FDF" w:rsidP="00382DC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 xml:space="preserve">Die Atomgeschichte ist reich an Lügen, </w:t>
      </w:r>
      <w:proofErr w:type="spellStart"/>
      <w:r>
        <w:rPr>
          <w:rFonts w:cs="Calibri"/>
          <w:szCs w:val="24"/>
        </w:rPr>
        <w:t>Machtmißbrauch</w:t>
      </w:r>
      <w:proofErr w:type="spellEnd"/>
      <w:r>
        <w:rPr>
          <w:rFonts w:cs="Calibri"/>
          <w:szCs w:val="24"/>
        </w:rPr>
        <w:t xml:space="preserve"> und Skandalen.</w:t>
      </w:r>
    </w:p>
    <w:p w:rsidR="00382DCC" w:rsidRDefault="00F975FC" w:rsidP="00F975F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Ohne „Aufräumen“ gibt es keine Gemeinsamkeiten, di</w:t>
      </w:r>
      <w:r w:rsidR="00593FDF">
        <w:rPr>
          <w:rFonts w:cs="Calibri"/>
          <w:szCs w:val="24"/>
        </w:rPr>
        <w:t>e Gesellschaft bliebe gespalten, die alten Fehler dürfen nicht legitimiert werden.</w:t>
      </w:r>
    </w:p>
    <w:p w:rsidR="00C31C15" w:rsidRDefault="00C31C15" w:rsidP="00F975F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Im Ringen um gemeinsame Wahrheiten, im Verbschieden als falsch erkannter Muster bildet sich ein neuer Umgang miteinander heraus. Das ist die Erfahrung aus sog. „post-</w:t>
      </w:r>
      <w:proofErr w:type="spellStart"/>
      <w:r>
        <w:rPr>
          <w:rFonts w:cs="Calibri"/>
          <w:szCs w:val="24"/>
        </w:rPr>
        <w:t>conflict</w:t>
      </w:r>
      <w:proofErr w:type="spellEnd"/>
      <w:r>
        <w:rPr>
          <w:rFonts w:cs="Calibri"/>
          <w:szCs w:val="24"/>
        </w:rPr>
        <w:t>“-Gesellschaften.</w:t>
      </w:r>
      <w:r w:rsidR="00593FDF">
        <w:rPr>
          <w:rFonts w:cs="Calibri"/>
          <w:szCs w:val="24"/>
        </w:rPr>
        <w:t xml:space="preserve"> </w:t>
      </w:r>
    </w:p>
    <w:p w:rsidR="00593FDF" w:rsidRDefault="00593FDF" w:rsidP="00F975FC">
      <w:pPr>
        <w:ind w:left="360"/>
        <w:rPr>
          <w:rFonts w:cs="Calibri"/>
          <w:b/>
          <w:szCs w:val="24"/>
        </w:rPr>
      </w:pPr>
      <w:r>
        <w:rPr>
          <w:rFonts w:cs="Calibri"/>
          <w:szCs w:val="24"/>
        </w:rPr>
        <w:t>Wir müssen gemeinsam neu erarbeiten, welche Fakten, Bewertungen, Ergebnisse „Wah</w:t>
      </w:r>
      <w:r>
        <w:rPr>
          <w:rFonts w:cs="Calibri"/>
          <w:szCs w:val="24"/>
        </w:rPr>
        <w:t>r</w:t>
      </w:r>
      <w:r>
        <w:rPr>
          <w:rFonts w:cs="Calibri"/>
          <w:szCs w:val="24"/>
        </w:rPr>
        <w:t xml:space="preserve">heit“ und zukunftstauglich sind und was aus der Asse, </w:t>
      </w:r>
      <w:proofErr w:type="spellStart"/>
      <w:r>
        <w:rPr>
          <w:rFonts w:cs="Calibri"/>
          <w:szCs w:val="24"/>
        </w:rPr>
        <w:t>Morsleben</w:t>
      </w:r>
      <w:proofErr w:type="spellEnd"/>
      <w:r>
        <w:rPr>
          <w:rFonts w:cs="Calibri"/>
          <w:szCs w:val="24"/>
        </w:rPr>
        <w:t xml:space="preserve"> und den weltweiten K</w:t>
      </w:r>
      <w:r>
        <w:rPr>
          <w:rFonts w:cs="Calibri"/>
          <w:szCs w:val="24"/>
        </w:rPr>
        <w:t>a</w:t>
      </w:r>
      <w:r>
        <w:rPr>
          <w:rFonts w:cs="Calibri"/>
          <w:szCs w:val="24"/>
        </w:rPr>
        <w:t>tastrophen für Lehren gezogen werden müssen.</w:t>
      </w:r>
    </w:p>
    <w:p w:rsidR="00382DCC" w:rsidRDefault="00382DCC" w:rsidP="00E87407">
      <w:pPr>
        <w:rPr>
          <w:rFonts w:cs="Calibri"/>
          <w:b/>
          <w:szCs w:val="24"/>
        </w:rPr>
      </w:pPr>
    </w:p>
    <w:p w:rsidR="00382DCC" w:rsidRDefault="00382DCC" w:rsidP="00E87407">
      <w:pPr>
        <w:rPr>
          <w:rFonts w:cs="Calibri"/>
          <w:b/>
          <w:szCs w:val="24"/>
        </w:rPr>
      </w:pPr>
    </w:p>
    <w:p w:rsidR="00F975FC" w:rsidRPr="00C31C15" w:rsidRDefault="00F975FC" w:rsidP="00F975F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C31C15">
        <w:rPr>
          <w:rFonts w:cs="Calibri"/>
          <w:i/>
          <w:szCs w:val="24"/>
        </w:rPr>
        <w:t>Ver</w:t>
      </w:r>
      <w:r w:rsidR="00C31C15" w:rsidRPr="00C31C15">
        <w:rPr>
          <w:rFonts w:cs="Calibri"/>
          <w:i/>
          <w:szCs w:val="24"/>
        </w:rPr>
        <w:t>g</w:t>
      </w:r>
      <w:r w:rsidRPr="00C31C15">
        <w:rPr>
          <w:rFonts w:cs="Calibri"/>
          <w:i/>
          <w:szCs w:val="24"/>
        </w:rPr>
        <w:t>angenheit ist Gegenwart</w:t>
      </w:r>
    </w:p>
    <w:p w:rsidR="00C31C15" w:rsidRDefault="00C31C15" w:rsidP="00C31C15">
      <w:pPr>
        <w:pStyle w:val="Listenabsatz"/>
        <w:rPr>
          <w:rFonts w:cs="Calibri"/>
          <w:szCs w:val="24"/>
        </w:rPr>
      </w:pPr>
    </w:p>
    <w:p w:rsidR="00C31C15" w:rsidRDefault="00C31C15" w:rsidP="00C31C15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 xml:space="preserve">Der Streit um </w:t>
      </w:r>
      <w:r w:rsidR="00F975FC" w:rsidRPr="00F975FC">
        <w:rPr>
          <w:rFonts w:cs="Calibri"/>
          <w:szCs w:val="24"/>
        </w:rPr>
        <w:t xml:space="preserve">Gorleben ist nicht Vergangenheit, der Müll in den Zwischenlagern ist nicht Vergangenheit. </w:t>
      </w:r>
      <w:r w:rsidR="00593FDF">
        <w:rPr>
          <w:rFonts w:cs="Calibri"/>
          <w:szCs w:val="24"/>
        </w:rPr>
        <w:t xml:space="preserve">Die drängenden Sicherheitsprobleme sind Gegenwart. </w:t>
      </w:r>
      <w:r w:rsidR="00F975FC">
        <w:rPr>
          <w:rFonts w:cs="Calibri"/>
          <w:szCs w:val="24"/>
        </w:rPr>
        <w:t>Der Umgang mit kr</w:t>
      </w:r>
      <w:r w:rsidR="00F975FC">
        <w:rPr>
          <w:rFonts w:cs="Calibri"/>
          <w:szCs w:val="24"/>
        </w:rPr>
        <w:t>i</w:t>
      </w:r>
      <w:r w:rsidR="00F975FC">
        <w:rPr>
          <w:rFonts w:cs="Calibri"/>
          <w:szCs w:val="24"/>
        </w:rPr>
        <w:t>tischen Bürgern ist Gegenwart – AKW-Gegner werden weiterhin kriminalisiert, bespitzelt und für die Anmeldung und Teilnahme an Versammlungen in Verbunddateien der sog, „I</w:t>
      </w:r>
      <w:r w:rsidR="00F975FC">
        <w:rPr>
          <w:rFonts w:cs="Calibri"/>
          <w:szCs w:val="24"/>
        </w:rPr>
        <w:t>n</w:t>
      </w:r>
      <w:r w:rsidR="00F975FC">
        <w:rPr>
          <w:rFonts w:cs="Calibri"/>
          <w:szCs w:val="24"/>
        </w:rPr>
        <w:t>neren Sicherheit“ gespeichert</w:t>
      </w:r>
      <w:r w:rsidR="00F975FC">
        <w:rPr>
          <w:rStyle w:val="Endnotenzeichen"/>
          <w:rFonts w:cs="Calibri"/>
          <w:szCs w:val="24"/>
        </w:rPr>
        <w:endnoteReference w:id="2"/>
      </w:r>
      <w:r w:rsidR="00F975FC">
        <w:rPr>
          <w:rFonts w:cs="Calibri"/>
          <w:szCs w:val="24"/>
        </w:rPr>
        <w:t xml:space="preserve">. </w:t>
      </w:r>
      <w:r w:rsidRPr="00F975FC">
        <w:rPr>
          <w:rFonts w:cs="Calibri"/>
          <w:szCs w:val="24"/>
        </w:rPr>
        <w:t xml:space="preserve">Die Konflikte sind überall – ohne </w:t>
      </w:r>
      <w:r>
        <w:rPr>
          <w:rFonts w:cs="Calibri"/>
          <w:szCs w:val="24"/>
        </w:rPr>
        <w:t>die k</w:t>
      </w:r>
      <w:r w:rsidRPr="00F975FC">
        <w:rPr>
          <w:rFonts w:cs="Calibri"/>
          <w:szCs w:val="24"/>
        </w:rPr>
        <w:t>ritische Bevölkerung wird es keine L</w:t>
      </w:r>
      <w:r w:rsidRPr="00F975FC">
        <w:rPr>
          <w:rFonts w:cs="Calibri"/>
          <w:szCs w:val="24"/>
        </w:rPr>
        <w:t>ö</w:t>
      </w:r>
      <w:r w:rsidRPr="00F975FC">
        <w:rPr>
          <w:rFonts w:cs="Calibri"/>
          <w:szCs w:val="24"/>
        </w:rPr>
        <w:t>sung</w:t>
      </w:r>
      <w:r>
        <w:rPr>
          <w:rFonts w:cs="Calibri"/>
          <w:szCs w:val="24"/>
        </w:rPr>
        <w:t>en</w:t>
      </w:r>
      <w:r w:rsidRPr="00F975FC">
        <w:rPr>
          <w:rFonts w:cs="Calibri"/>
          <w:szCs w:val="24"/>
        </w:rPr>
        <w:t xml:space="preserve"> geben</w:t>
      </w:r>
      <w:r>
        <w:rPr>
          <w:rFonts w:cs="Calibri"/>
          <w:szCs w:val="24"/>
        </w:rPr>
        <w:t>.</w:t>
      </w:r>
    </w:p>
    <w:p w:rsidR="00C31C15" w:rsidRDefault="00C31C15" w:rsidP="00C31C15">
      <w:pPr>
        <w:ind w:left="360"/>
        <w:rPr>
          <w:rFonts w:cs="Calibri"/>
          <w:i/>
          <w:szCs w:val="24"/>
        </w:rPr>
      </w:pPr>
    </w:p>
    <w:p w:rsidR="00593FDF" w:rsidRPr="00593FDF" w:rsidRDefault="00593FDF" w:rsidP="00C31C15">
      <w:pPr>
        <w:ind w:left="360"/>
        <w:rPr>
          <w:rFonts w:cs="Calibri"/>
          <w:i/>
          <w:szCs w:val="24"/>
        </w:rPr>
      </w:pPr>
    </w:p>
    <w:p w:rsidR="00C31C15" w:rsidRDefault="00593FDF" w:rsidP="00C31C15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593FDF">
        <w:rPr>
          <w:rFonts w:cs="Calibri"/>
          <w:i/>
          <w:szCs w:val="24"/>
        </w:rPr>
        <w:t>Prozesse gemeinsam gestalten</w:t>
      </w:r>
      <w:r>
        <w:rPr>
          <w:rFonts w:cs="Calibri"/>
          <w:i/>
          <w:szCs w:val="24"/>
        </w:rPr>
        <w:t xml:space="preserve"> </w:t>
      </w:r>
    </w:p>
    <w:p w:rsidR="00593FDF" w:rsidRDefault="00593FDF" w:rsidP="00593FDF">
      <w:pPr>
        <w:ind w:left="360"/>
        <w:rPr>
          <w:rFonts w:cs="Calibri"/>
          <w:szCs w:val="24"/>
        </w:rPr>
      </w:pPr>
    </w:p>
    <w:p w:rsidR="00593FDF" w:rsidRDefault="00593FDF" w:rsidP="00593FDF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Bürgerbeteiligung funktioniert nur mit echten Partizipationsangeboten. Dann aber erre</w:t>
      </w:r>
      <w:r>
        <w:rPr>
          <w:rFonts w:cs="Calibri"/>
          <w:szCs w:val="24"/>
        </w:rPr>
        <w:t>i</w:t>
      </w:r>
      <w:r>
        <w:rPr>
          <w:rFonts w:cs="Calibri"/>
          <w:szCs w:val="24"/>
        </w:rPr>
        <w:t xml:space="preserve">chen sie nachhaltige Lösungen. Der Prozess </w:t>
      </w:r>
      <w:proofErr w:type="spellStart"/>
      <w:r>
        <w:rPr>
          <w:rFonts w:cs="Calibri"/>
          <w:szCs w:val="24"/>
        </w:rPr>
        <w:t>muß</w:t>
      </w:r>
      <w:proofErr w:type="spellEnd"/>
      <w:r>
        <w:rPr>
          <w:rFonts w:cs="Calibri"/>
          <w:szCs w:val="24"/>
        </w:rPr>
        <w:t xml:space="preserve"> gemeinsam gestaltet, die Fragen gemei</w:t>
      </w:r>
      <w:r>
        <w:rPr>
          <w:rFonts w:cs="Calibri"/>
          <w:szCs w:val="24"/>
        </w:rPr>
        <w:t>n</w:t>
      </w:r>
      <w:r>
        <w:rPr>
          <w:rFonts w:cs="Calibri"/>
          <w:szCs w:val="24"/>
        </w:rPr>
        <w:t>sam gefunden, die Fakten, Bewertungen und Ergebnisse gemeinsam erarbeitet werden. Die Argumente der Bürgerinnen und Bürger müssen nicht nur angehört werden, sondern sich im Ergebnis wiederfinden durch gemeinsame Entscheidungen.</w:t>
      </w:r>
    </w:p>
    <w:p w:rsidR="00593FDF" w:rsidRDefault="00593FDF" w:rsidP="00593FDF">
      <w:pPr>
        <w:ind w:left="360"/>
        <w:rPr>
          <w:rFonts w:cs="Calibri"/>
          <w:szCs w:val="24"/>
        </w:rPr>
      </w:pPr>
    </w:p>
    <w:p w:rsidR="00777E7C" w:rsidRDefault="00777E7C" w:rsidP="00593FDF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>
        <w:rPr>
          <w:rFonts w:cs="Calibri"/>
          <w:i/>
          <w:szCs w:val="24"/>
        </w:rPr>
        <w:t>Komplexität verwalten</w:t>
      </w:r>
    </w:p>
    <w:p w:rsidR="00777E7C" w:rsidRDefault="00777E7C" w:rsidP="00777E7C">
      <w:pPr>
        <w:ind w:left="360"/>
        <w:rPr>
          <w:rFonts w:cs="Calibri"/>
          <w:szCs w:val="24"/>
        </w:rPr>
      </w:pPr>
    </w:p>
    <w:p w:rsidR="00777E7C" w:rsidRPr="00777E7C" w:rsidRDefault="00777E7C" w:rsidP="00777E7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Die Fragen rund um sichere Atommüll-Verwahrung sind komplex – es fängt an bei den Fa</w:t>
      </w:r>
      <w:r>
        <w:rPr>
          <w:rFonts w:cs="Calibri"/>
          <w:szCs w:val="24"/>
        </w:rPr>
        <w:t>k</w:t>
      </w:r>
      <w:r>
        <w:rPr>
          <w:rFonts w:cs="Calibri"/>
          <w:szCs w:val="24"/>
        </w:rPr>
        <w:t>ten, geht über Bewertungen, Optionen, Teilergebnisse, Ergebnisse und auch die Verfa</w:t>
      </w:r>
      <w:r>
        <w:rPr>
          <w:rFonts w:cs="Calibri"/>
          <w:szCs w:val="24"/>
        </w:rPr>
        <w:t>h</w:t>
      </w:r>
      <w:r>
        <w:rPr>
          <w:rFonts w:cs="Calibri"/>
          <w:szCs w:val="24"/>
        </w:rPr>
        <w:t>rensabläufe und die Fehlerkontrolle sind hoch komplex. Bürgerbeteiligung braucht daher neue Verfahren in der Gestaltung von „Landkarten“ der Komplexität und „Wissensarchite</w:t>
      </w:r>
      <w:r>
        <w:rPr>
          <w:rFonts w:cs="Calibri"/>
          <w:szCs w:val="24"/>
        </w:rPr>
        <w:t>k</w:t>
      </w:r>
      <w:r>
        <w:rPr>
          <w:rFonts w:cs="Calibri"/>
          <w:szCs w:val="24"/>
        </w:rPr>
        <w:t>ten“</w:t>
      </w:r>
      <w:r>
        <w:rPr>
          <w:rStyle w:val="Endnotenzeichen"/>
          <w:rFonts w:cs="Calibri"/>
          <w:szCs w:val="24"/>
        </w:rPr>
        <w:endnoteReference w:id="3"/>
      </w:r>
      <w:r>
        <w:rPr>
          <w:rFonts w:cs="Calibri"/>
          <w:szCs w:val="24"/>
        </w:rPr>
        <w:t>, die diese Landkarten gestalten und weiter entwickeln.</w:t>
      </w:r>
    </w:p>
    <w:p w:rsidR="00777E7C" w:rsidRPr="00777E7C" w:rsidRDefault="00777E7C" w:rsidP="00777E7C">
      <w:pPr>
        <w:ind w:left="360"/>
        <w:rPr>
          <w:rFonts w:cs="Calibri"/>
          <w:i/>
          <w:szCs w:val="24"/>
        </w:rPr>
      </w:pPr>
    </w:p>
    <w:p w:rsidR="00593FDF" w:rsidRPr="00777E7C" w:rsidRDefault="00593FDF" w:rsidP="00777E7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777E7C">
        <w:rPr>
          <w:rFonts w:cs="Calibri"/>
          <w:i/>
          <w:szCs w:val="24"/>
        </w:rPr>
        <w:t>Zweifelskultur</w:t>
      </w:r>
    </w:p>
    <w:p w:rsidR="00593FDF" w:rsidRDefault="00593FDF" w:rsidP="00593FDF">
      <w:pPr>
        <w:ind w:left="360"/>
        <w:rPr>
          <w:rFonts w:cs="Calibri"/>
          <w:szCs w:val="24"/>
        </w:rPr>
      </w:pPr>
    </w:p>
    <w:p w:rsidR="00593FDF" w:rsidRDefault="00593FDF" w:rsidP="00593FDF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Die Geschichte der Atomkraft und auch der Anti-AKW-</w:t>
      </w:r>
      <w:proofErr w:type="spellStart"/>
      <w:r>
        <w:rPr>
          <w:rFonts w:cs="Calibri"/>
          <w:szCs w:val="24"/>
        </w:rPr>
        <w:t>Prosteste</w:t>
      </w:r>
      <w:proofErr w:type="spellEnd"/>
      <w:r>
        <w:rPr>
          <w:rFonts w:cs="Calibri"/>
          <w:szCs w:val="24"/>
        </w:rPr>
        <w:t xml:space="preserve"> lehrt: Es gibt keine </w:t>
      </w:r>
      <w:proofErr w:type="spellStart"/>
      <w:r>
        <w:rPr>
          <w:rFonts w:cs="Calibri"/>
          <w:szCs w:val="24"/>
        </w:rPr>
        <w:t>Gewi</w:t>
      </w:r>
      <w:r>
        <w:rPr>
          <w:rFonts w:cs="Calibri"/>
          <w:szCs w:val="24"/>
        </w:rPr>
        <w:t>ß</w:t>
      </w:r>
      <w:r>
        <w:rPr>
          <w:rFonts w:cs="Calibri"/>
          <w:szCs w:val="24"/>
        </w:rPr>
        <w:t>heiten</w:t>
      </w:r>
      <w:proofErr w:type="spellEnd"/>
      <w:r>
        <w:rPr>
          <w:rFonts w:cs="Calibri"/>
          <w:szCs w:val="24"/>
        </w:rPr>
        <w:t xml:space="preserve"> und es gibt keine Sicherheit. Es gibt Fehleinschätzungen und menschliches Versagen, vielleicht auch Korrupti</w:t>
      </w:r>
      <w:r w:rsidR="00777E7C">
        <w:rPr>
          <w:rFonts w:cs="Calibri"/>
          <w:szCs w:val="24"/>
        </w:rPr>
        <w:t xml:space="preserve">on. </w:t>
      </w:r>
      <w:r>
        <w:rPr>
          <w:rFonts w:cs="Calibri"/>
          <w:szCs w:val="24"/>
        </w:rPr>
        <w:t xml:space="preserve">Die </w:t>
      </w:r>
      <w:r w:rsidR="00777E7C">
        <w:rPr>
          <w:rFonts w:cs="Calibri"/>
          <w:szCs w:val="24"/>
        </w:rPr>
        <w:t>sog. „</w:t>
      </w:r>
      <w:r>
        <w:rPr>
          <w:rFonts w:cs="Calibri"/>
          <w:szCs w:val="24"/>
        </w:rPr>
        <w:t>Protestbürger</w:t>
      </w:r>
      <w:r w:rsidR="00777E7C">
        <w:rPr>
          <w:rFonts w:cs="Calibri"/>
          <w:szCs w:val="24"/>
        </w:rPr>
        <w:t>“</w:t>
      </w:r>
      <w:r>
        <w:rPr>
          <w:rFonts w:cs="Calibri"/>
          <w:szCs w:val="24"/>
        </w:rPr>
        <w:t xml:space="preserve"> haben fast immer die richtigen Fragen gestellt, von der Erdbebensicherheit bis zur Geologie, von </w:t>
      </w:r>
      <w:r w:rsidR="00777E7C">
        <w:rPr>
          <w:rFonts w:cs="Calibri"/>
          <w:szCs w:val="24"/>
        </w:rPr>
        <w:t>der Risikobewertung bis zu Mül</w:t>
      </w:r>
      <w:r w:rsidR="00777E7C">
        <w:rPr>
          <w:rFonts w:cs="Calibri"/>
          <w:szCs w:val="24"/>
        </w:rPr>
        <w:t>l</w:t>
      </w:r>
      <w:r w:rsidR="00777E7C">
        <w:rPr>
          <w:rFonts w:cs="Calibri"/>
          <w:szCs w:val="24"/>
        </w:rPr>
        <w:t xml:space="preserve">mengen. </w:t>
      </w:r>
      <w:r>
        <w:rPr>
          <w:rFonts w:cs="Calibri"/>
          <w:szCs w:val="24"/>
        </w:rPr>
        <w:t>Bürger dürfen zweifeln, und sie tragen zu einer „Zweifelskultur“</w:t>
      </w:r>
      <w:r w:rsidR="00777E7C">
        <w:rPr>
          <w:rFonts w:cs="Calibri"/>
          <w:szCs w:val="24"/>
        </w:rPr>
        <w:t xml:space="preserve"> bei. Eine Zweifel</w:t>
      </w:r>
      <w:r w:rsidR="00777E7C">
        <w:rPr>
          <w:rFonts w:cs="Calibri"/>
          <w:szCs w:val="24"/>
        </w:rPr>
        <w:t>s</w:t>
      </w:r>
      <w:r w:rsidR="00777E7C">
        <w:rPr>
          <w:rFonts w:cs="Calibri"/>
          <w:szCs w:val="24"/>
        </w:rPr>
        <w:t xml:space="preserve">kultur bietet mehr Sicherheit, als </w:t>
      </w:r>
      <w:proofErr w:type="spellStart"/>
      <w:r w:rsidR="00777E7C">
        <w:rPr>
          <w:rFonts w:cs="Calibri"/>
          <w:szCs w:val="24"/>
        </w:rPr>
        <w:t>Alternativlosigkeit</w:t>
      </w:r>
      <w:proofErr w:type="spellEnd"/>
      <w:r w:rsidR="00777E7C">
        <w:rPr>
          <w:rFonts w:cs="Calibri"/>
          <w:szCs w:val="24"/>
        </w:rPr>
        <w:t>, Zeitdruck und angebliches „Experte</w:t>
      </w:r>
      <w:r w:rsidR="00777E7C">
        <w:rPr>
          <w:rFonts w:cs="Calibri"/>
          <w:szCs w:val="24"/>
        </w:rPr>
        <w:t>n</w:t>
      </w:r>
      <w:r w:rsidR="00777E7C">
        <w:rPr>
          <w:rFonts w:cs="Calibri"/>
          <w:szCs w:val="24"/>
        </w:rPr>
        <w:t xml:space="preserve">wissen“. </w:t>
      </w:r>
    </w:p>
    <w:p w:rsidR="00777E7C" w:rsidRDefault="00777E7C" w:rsidP="00593FDF">
      <w:pPr>
        <w:ind w:left="360"/>
        <w:rPr>
          <w:rFonts w:cs="Calibri"/>
          <w:szCs w:val="24"/>
        </w:rPr>
      </w:pPr>
    </w:p>
    <w:p w:rsidR="00777E7C" w:rsidRDefault="00777E7C" w:rsidP="00777E7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>
        <w:rPr>
          <w:rFonts w:cs="Calibri"/>
          <w:i/>
          <w:szCs w:val="24"/>
        </w:rPr>
        <w:t>Kontrollmechanismen</w:t>
      </w:r>
    </w:p>
    <w:p w:rsidR="00777E7C" w:rsidRDefault="00777E7C" w:rsidP="00777E7C">
      <w:pPr>
        <w:rPr>
          <w:rFonts w:cs="Calibri"/>
          <w:i/>
          <w:szCs w:val="24"/>
        </w:rPr>
      </w:pPr>
    </w:p>
    <w:p w:rsidR="00777E7C" w:rsidRDefault="00777E7C" w:rsidP="00777E7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Bürgerbeteiligung braucht Kontrollmechanismen: für ein faires Verfahren einen „Ombud</w:t>
      </w:r>
      <w:r>
        <w:rPr>
          <w:rFonts w:cs="Calibri"/>
          <w:szCs w:val="24"/>
        </w:rPr>
        <w:t>s</w:t>
      </w:r>
      <w:r>
        <w:rPr>
          <w:rFonts w:cs="Calibri"/>
          <w:szCs w:val="24"/>
        </w:rPr>
        <w:t>mann“, der auf Einhaltung der Verfahrensregeln, Transparenz und darauf achtet, dass B</w:t>
      </w:r>
      <w:r>
        <w:rPr>
          <w:rFonts w:cs="Calibri"/>
          <w:szCs w:val="24"/>
        </w:rPr>
        <w:t>e</w:t>
      </w:r>
      <w:r>
        <w:rPr>
          <w:rFonts w:cs="Calibri"/>
          <w:szCs w:val="24"/>
        </w:rPr>
        <w:t>schwerden und Einwände Gehör finden. Für die Ergebnisse durch Konsensverfahren, Vet</w:t>
      </w:r>
      <w:r>
        <w:rPr>
          <w:rFonts w:cs="Calibri"/>
          <w:szCs w:val="24"/>
        </w:rPr>
        <w:t>o</w:t>
      </w:r>
      <w:r>
        <w:rPr>
          <w:rFonts w:cs="Calibri"/>
          <w:szCs w:val="24"/>
        </w:rPr>
        <w:t>rechte usw., aber auch durch Rechtsschutzmöglichkeiten.</w:t>
      </w:r>
    </w:p>
    <w:p w:rsidR="00777E7C" w:rsidRDefault="00777E7C" w:rsidP="00777E7C">
      <w:pPr>
        <w:ind w:left="360"/>
        <w:rPr>
          <w:rFonts w:cs="Calibri"/>
          <w:szCs w:val="24"/>
        </w:rPr>
      </w:pPr>
    </w:p>
    <w:p w:rsidR="00777E7C" w:rsidRPr="00777E7C" w:rsidRDefault="00777E7C" w:rsidP="00777E7C">
      <w:pPr>
        <w:ind w:left="360"/>
        <w:rPr>
          <w:rFonts w:cs="Calibri"/>
          <w:szCs w:val="24"/>
        </w:rPr>
      </w:pPr>
    </w:p>
    <w:p w:rsidR="00593FDF" w:rsidRDefault="00593FDF" w:rsidP="00777E7C">
      <w:pPr>
        <w:pStyle w:val="Listenabsatz"/>
        <w:numPr>
          <w:ilvl w:val="0"/>
          <w:numId w:val="1"/>
        </w:numPr>
        <w:rPr>
          <w:rFonts w:cs="Calibri"/>
          <w:i/>
          <w:szCs w:val="24"/>
        </w:rPr>
      </w:pPr>
      <w:r w:rsidRPr="00777E7C">
        <w:rPr>
          <w:rFonts w:cs="Calibri"/>
          <w:i/>
          <w:szCs w:val="24"/>
        </w:rPr>
        <w:t>Vertreter kommender Generationen</w:t>
      </w:r>
    </w:p>
    <w:p w:rsidR="00777E7C" w:rsidRDefault="00777E7C" w:rsidP="00777E7C">
      <w:pPr>
        <w:rPr>
          <w:rFonts w:cs="Calibri"/>
          <w:szCs w:val="24"/>
        </w:rPr>
      </w:pPr>
    </w:p>
    <w:p w:rsidR="00777E7C" w:rsidRDefault="00777E7C" w:rsidP="00777E7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Die heute begonnenen Verfahren und die künftigen Entscheidungen reichen weit in die Z</w:t>
      </w:r>
      <w:r>
        <w:rPr>
          <w:rFonts w:cs="Calibri"/>
          <w:szCs w:val="24"/>
        </w:rPr>
        <w:t>u</w:t>
      </w:r>
      <w:r>
        <w:rPr>
          <w:rFonts w:cs="Calibri"/>
          <w:szCs w:val="24"/>
        </w:rPr>
        <w:t>kunft. Heute gibt es fast niemanden, der „neutral“ ist in der Beurteilung der Spaltprodukte.</w:t>
      </w:r>
    </w:p>
    <w:p w:rsidR="00777E7C" w:rsidRDefault="00777E7C" w:rsidP="00777E7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Für ein auch aus der Zukunft her gesehen „faires“ Verfahren braucht es einen Repräsenta</w:t>
      </w:r>
      <w:r>
        <w:rPr>
          <w:rFonts w:cs="Calibri"/>
          <w:szCs w:val="24"/>
        </w:rPr>
        <w:t>n</w:t>
      </w:r>
      <w:r>
        <w:rPr>
          <w:rFonts w:cs="Calibri"/>
          <w:szCs w:val="24"/>
        </w:rPr>
        <w:t xml:space="preserve">ten der kommenden Generationen, der mit Verfahrens- und Vetorechten ausgestattet ist und allein die Aufgabe hat, den Prozess und die Ergebnisse unter dem Blickwinkel der nach uns kommenden </w:t>
      </w:r>
      <w:proofErr w:type="spellStart"/>
      <w:r>
        <w:rPr>
          <w:rFonts w:cs="Calibri"/>
          <w:szCs w:val="24"/>
        </w:rPr>
        <w:t>Genertionen</w:t>
      </w:r>
      <w:proofErr w:type="spellEnd"/>
      <w:r>
        <w:rPr>
          <w:rFonts w:cs="Calibri"/>
          <w:szCs w:val="24"/>
        </w:rPr>
        <w:t xml:space="preserve"> zu bewerten. Nur eine solche Instanz kann „billige schnelle Lösungen“ verhindern.</w:t>
      </w:r>
    </w:p>
    <w:p w:rsidR="00777E7C" w:rsidRDefault="00777E7C" w:rsidP="00777E7C">
      <w:pPr>
        <w:ind w:left="360"/>
        <w:rPr>
          <w:rFonts w:cs="Calibri"/>
          <w:szCs w:val="24"/>
        </w:rPr>
      </w:pPr>
    </w:p>
    <w:p w:rsidR="00777E7C" w:rsidRDefault="00777E7C" w:rsidP="00777E7C">
      <w:pPr>
        <w:ind w:left="360"/>
        <w:rPr>
          <w:rFonts w:cs="Calibri"/>
          <w:szCs w:val="24"/>
        </w:rPr>
      </w:pPr>
    </w:p>
    <w:p w:rsidR="00777E7C" w:rsidRPr="00777E7C" w:rsidRDefault="00777E7C" w:rsidP="00777E7C">
      <w:pPr>
        <w:ind w:left="360"/>
        <w:rPr>
          <w:rFonts w:cs="Calibri"/>
          <w:szCs w:val="24"/>
        </w:rPr>
      </w:pPr>
      <w:r>
        <w:rPr>
          <w:rFonts w:cs="Calibri"/>
          <w:szCs w:val="24"/>
        </w:rPr>
        <w:t>Ulrike Donat</w:t>
      </w:r>
    </w:p>
    <w:p w:rsidR="00C31C15" w:rsidRPr="00F975FC" w:rsidRDefault="00C31C15" w:rsidP="00C31C15">
      <w:pPr>
        <w:rPr>
          <w:rFonts w:cs="Calibri"/>
          <w:szCs w:val="24"/>
        </w:rPr>
      </w:pPr>
    </w:p>
    <w:p w:rsidR="00F975FC" w:rsidRDefault="00F975FC" w:rsidP="00F975FC">
      <w:pPr>
        <w:ind w:left="360"/>
        <w:rPr>
          <w:rFonts w:cs="Calibri"/>
          <w:szCs w:val="24"/>
        </w:rPr>
        <w:sectPr w:rsidR="00F975FC" w:rsidSect="00F975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1" w:h="16834" w:code="9"/>
          <w:pgMar w:top="1090" w:right="1134" w:bottom="1134" w:left="1418" w:header="851" w:footer="397" w:gutter="0"/>
          <w:paperSrc w:first="1" w:other="1"/>
          <w:cols w:space="720"/>
          <w:titlePg/>
        </w:sectPr>
      </w:pPr>
    </w:p>
    <w:p w:rsidR="00C31C15" w:rsidRPr="00F975FC" w:rsidRDefault="00C31C15">
      <w:pPr>
        <w:rPr>
          <w:rFonts w:cs="Calibri"/>
          <w:szCs w:val="24"/>
        </w:rPr>
      </w:pPr>
    </w:p>
    <w:sectPr w:rsidR="00C31C15" w:rsidRPr="00F975FC" w:rsidSect="00F975FC">
      <w:type w:val="continuous"/>
      <w:pgSz w:w="11901" w:h="16834" w:code="9"/>
      <w:pgMar w:top="1090" w:right="1134" w:bottom="1134" w:left="1418" w:header="851" w:footer="397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78" w:rsidRDefault="00404178">
      <w:r>
        <w:separator/>
      </w:r>
    </w:p>
  </w:endnote>
  <w:endnote w:type="continuationSeparator" w:id="1">
    <w:p w:rsidR="00404178" w:rsidRDefault="00404178">
      <w:r>
        <w:continuationSeparator/>
      </w:r>
    </w:p>
  </w:endnote>
  <w:endnote w:id="2">
    <w:p w:rsidR="00F975FC" w:rsidRDefault="00F975FC">
      <w:pPr>
        <w:pStyle w:val="Endnotentext"/>
      </w:pPr>
      <w:r>
        <w:rPr>
          <w:rStyle w:val="Endnotenzeichen"/>
        </w:rPr>
        <w:endnoteRef/>
      </w:r>
      <w:r>
        <w:t>ht</w:t>
      </w:r>
      <w:r w:rsidRPr="00F975FC">
        <w:t>tp://www.bfdi.bund.de/SharedDocs/Publikationen/Taetigkeitsberichte/TB_BfDI/25TB_13_14.pdf?__blob=publicationFile&amp;v=9#page=97</w:t>
      </w:r>
    </w:p>
  </w:endnote>
  <w:endnote w:id="3">
    <w:p w:rsidR="00777E7C" w:rsidRDefault="00777E7C">
      <w:pPr>
        <w:pStyle w:val="Endnotentext"/>
      </w:pPr>
      <w:r>
        <w:rPr>
          <w:rStyle w:val="Endnotenzeichen"/>
        </w:rPr>
        <w:endnoteRef/>
      </w:r>
      <w:r>
        <w:t xml:space="preserve"> Danke an Prof. Stephan </w:t>
      </w:r>
      <w:proofErr w:type="spellStart"/>
      <w:r>
        <w:t>Breidenbach</w:t>
      </w:r>
      <w:proofErr w:type="spellEnd"/>
      <w:r>
        <w:t xml:space="preserve"> für diese Anregung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6B" w:rsidRDefault="00AE2F6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6B" w:rsidRDefault="00AE2F6B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509" w:rsidRDefault="00472E47" w:rsidP="00AE2F6B">
    <w:pPr>
      <w:framePr w:w="10206" w:h="404" w:hRule="exact" w:hSpace="142" w:wrap="around" w:vAnchor="page" w:hAnchor="page" w:x="1322" w:y="16002"/>
      <w:shd w:val="solid" w:color="FFFFFF" w:fill="FFFFFF"/>
      <w:jc w:val="center"/>
      <w:rPr>
        <w:rFonts w:cs="Calibri"/>
        <w:color w:val="44808A"/>
        <w:sz w:val="16"/>
        <w:szCs w:val="16"/>
      </w:rPr>
    </w:pPr>
    <w:r w:rsidRPr="004B52D0">
      <w:rPr>
        <w:rFonts w:cs="Calibri"/>
        <w:color w:val="44808A"/>
        <w:sz w:val="16"/>
        <w:szCs w:val="16"/>
      </w:rPr>
      <w:t xml:space="preserve">Postbank Hamburg </w:t>
    </w:r>
    <w:r w:rsidR="00562509">
      <w:rPr>
        <w:rFonts w:cs="Calibri"/>
        <w:color w:val="44808A"/>
        <w:sz w:val="16"/>
        <w:szCs w:val="16"/>
      </w:rPr>
      <w:t xml:space="preserve">IBAN DE22 2001 0020 0033 617209 BIC PBNKDEFF </w:t>
    </w:r>
    <w:r w:rsidR="00562509" w:rsidRPr="004B52D0">
      <w:rPr>
        <w:rFonts w:cs="Calibri"/>
        <w:color w:val="44808A"/>
        <w:sz w:val="16"/>
        <w:szCs w:val="16"/>
      </w:rPr>
      <w:t>•</w:t>
    </w:r>
    <w:r w:rsidRPr="004B52D0">
      <w:rPr>
        <w:rFonts w:cs="Calibri"/>
        <w:color w:val="44808A"/>
        <w:sz w:val="16"/>
        <w:szCs w:val="16"/>
      </w:rPr>
      <w:t xml:space="preserve"> Hamburger Sparkasse </w:t>
    </w:r>
    <w:r w:rsidR="00562509">
      <w:rPr>
        <w:rFonts w:cs="Calibri"/>
        <w:color w:val="44808A"/>
        <w:sz w:val="16"/>
        <w:szCs w:val="16"/>
      </w:rPr>
      <w:t>IBAN  DE15 200</w:t>
    </w:r>
    <w:r w:rsidRPr="004B52D0">
      <w:rPr>
        <w:rFonts w:cs="Calibri"/>
        <w:color w:val="44808A"/>
        <w:sz w:val="16"/>
        <w:szCs w:val="16"/>
      </w:rPr>
      <w:t>5</w:t>
    </w:r>
    <w:r w:rsidR="00562509">
      <w:rPr>
        <w:rFonts w:cs="Calibri"/>
        <w:color w:val="44808A"/>
        <w:sz w:val="16"/>
        <w:szCs w:val="16"/>
      </w:rPr>
      <w:t xml:space="preserve"> </w:t>
    </w:r>
    <w:r w:rsidRPr="004B52D0">
      <w:rPr>
        <w:rFonts w:cs="Calibri"/>
        <w:color w:val="44808A"/>
        <w:sz w:val="16"/>
        <w:szCs w:val="16"/>
      </w:rPr>
      <w:t xml:space="preserve">0550 </w:t>
    </w:r>
    <w:r w:rsidR="00562509">
      <w:rPr>
        <w:rFonts w:cs="Calibri"/>
        <w:color w:val="44808A"/>
        <w:sz w:val="16"/>
        <w:szCs w:val="16"/>
      </w:rPr>
      <w:t xml:space="preserve">1042 </w:t>
    </w:r>
    <w:r w:rsidRPr="004B52D0">
      <w:rPr>
        <w:rFonts w:cs="Calibri"/>
        <w:color w:val="44808A"/>
        <w:sz w:val="16"/>
        <w:szCs w:val="16"/>
      </w:rPr>
      <w:t>130</w:t>
    </w:r>
    <w:r w:rsidR="00562509">
      <w:rPr>
        <w:rFonts w:cs="Calibri"/>
        <w:color w:val="44808A"/>
        <w:sz w:val="16"/>
        <w:szCs w:val="16"/>
      </w:rPr>
      <w:t xml:space="preserve">4 </w:t>
    </w:r>
    <w:r w:rsidRPr="004B52D0">
      <w:rPr>
        <w:rFonts w:cs="Calibri"/>
        <w:color w:val="44808A"/>
        <w:sz w:val="16"/>
        <w:szCs w:val="16"/>
      </w:rPr>
      <w:t>17</w:t>
    </w:r>
    <w:r w:rsidR="00562509">
      <w:rPr>
        <w:rFonts w:cs="Calibri"/>
        <w:color w:val="44808A"/>
        <w:sz w:val="16"/>
        <w:szCs w:val="16"/>
      </w:rPr>
      <w:t xml:space="preserve"> </w:t>
    </w:r>
    <w:r w:rsidR="00092ECB">
      <w:rPr>
        <w:rFonts w:cs="Calibri"/>
        <w:color w:val="44808A"/>
        <w:sz w:val="16"/>
        <w:szCs w:val="16"/>
      </w:rPr>
      <w:t>BIC HSAPDEHHXXX</w:t>
    </w:r>
  </w:p>
  <w:p w:rsidR="00472E47" w:rsidRDefault="00906EF6" w:rsidP="00AE2F6B">
    <w:pPr>
      <w:framePr w:w="10206" w:h="404" w:hRule="exact" w:hSpace="142" w:wrap="around" w:vAnchor="page" w:hAnchor="page" w:x="1322" w:y="16002"/>
      <w:shd w:val="solid" w:color="FFFFFF" w:fill="FFFFFF"/>
      <w:jc w:val="center"/>
      <w:rPr>
        <w:rFonts w:cs="Calibri"/>
        <w:color w:val="44808A"/>
        <w:sz w:val="16"/>
        <w:szCs w:val="16"/>
      </w:rPr>
    </w:pPr>
    <w:r w:rsidRPr="004B52D0">
      <w:rPr>
        <w:rFonts w:cs="Calibri"/>
        <w:color w:val="44808A"/>
        <w:sz w:val="16"/>
        <w:szCs w:val="16"/>
      </w:rPr>
      <w:t xml:space="preserve"> </w:t>
    </w:r>
    <w:r w:rsidR="00472E47" w:rsidRPr="004B52D0">
      <w:rPr>
        <w:rFonts w:cs="Calibri"/>
        <w:color w:val="44808A"/>
        <w:sz w:val="16"/>
        <w:szCs w:val="16"/>
      </w:rPr>
      <w:t xml:space="preserve">Steuer-Nr.: </w:t>
    </w:r>
    <w:r w:rsidR="00562509">
      <w:rPr>
        <w:rFonts w:cs="Calibri"/>
        <w:color w:val="44808A"/>
        <w:sz w:val="16"/>
        <w:szCs w:val="16"/>
      </w:rPr>
      <w:t xml:space="preserve">46-049-20105 </w:t>
    </w:r>
    <w:r w:rsidR="00AC13D3">
      <w:rPr>
        <w:rFonts w:cs="Calibri"/>
        <w:color w:val="44808A"/>
        <w:sz w:val="16"/>
        <w:szCs w:val="16"/>
      </w:rPr>
      <w:t xml:space="preserve">FA </w:t>
    </w:r>
    <w:r w:rsidR="00562509">
      <w:rPr>
        <w:rFonts w:cs="Calibri"/>
        <w:color w:val="44808A"/>
        <w:sz w:val="16"/>
        <w:szCs w:val="16"/>
      </w:rPr>
      <w:t>Hamburg-Hansa</w:t>
    </w:r>
  </w:p>
  <w:p w:rsidR="00562509" w:rsidRPr="004B52D0" w:rsidRDefault="00562509" w:rsidP="00AE2F6B">
    <w:pPr>
      <w:framePr w:w="10206" w:h="404" w:hRule="exact" w:hSpace="142" w:wrap="around" w:vAnchor="page" w:hAnchor="page" w:x="1322" w:y="16002"/>
      <w:shd w:val="solid" w:color="FFFFFF" w:fill="FFFFFF"/>
      <w:jc w:val="center"/>
      <w:rPr>
        <w:rFonts w:cs="Calibri"/>
        <w:color w:val="44808A"/>
        <w:sz w:val="16"/>
        <w:szCs w:val="16"/>
      </w:rPr>
    </w:pPr>
    <w:r>
      <w:rPr>
        <w:rFonts w:cs="Calibri"/>
        <w:color w:val="44808A"/>
        <w:sz w:val="16"/>
        <w:szCs w:val="16"/>
      </w:rPr>
      <w:t>/</w:t>
    </w:r>
  </w:p>
  <w:p w:rsidR="00472E47" w:rsidRPr="00906EF6" w:rsidRDefault="00472E47" w:rsidP="00906EF6">
    <w:pPr>
      <w:pStyle w:val="Fuzeile"/>
      <w:jc w:val="center"/>
      <w:rPr>
        <w:color w:val="44808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78" w:rsidRDefault="00404178">
      <w:r>
        <w:separator/>
      </w:r>
    </w:p>
  </w:footnote>
  <w:footnote w:type="continuationSeparator" w:id="1">
    <w:p w:rsidR="00404178" w:rsidRDefault="00404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6B" w:rsidRDefault="00AE2F6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D5" w:rsidRDefault="00612C05" w:rsidP="00EF7FD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7FD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7E7C">
      <w:rPr>
        <w:rStyle w:val="Seitenzahl"/>
        <w:noProof/>
      </w:rPr>
      <w:t>2</w:t>
    </w:r>
    <w:r>
      <w:rPr>
        <w:rStyle w:val="Seitenzahl"/>
      </w:rPr>
      <w:fldChar w:fldCharType="end"/>
    </w:r>
  </w:p>
  <w:p w:rsidR="00EF7FD5" w:rsidRDefault="00EF7FD5">
    <w:pPr>
      <w:pStyle w:val="Kopfzeile"/>
    </w:pPr>
  </w:p>
  <w:p w:rsidR="00EF7FD5" w:rsidRDefault="00EF7FD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A5" w:rsidRDefault="00404178" w:rsidP="00700884">
    <w:pPr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-130810</wp:posOffset>
          </wp:positionV>
          <wp:extent cx="1697355" cy="862965"/>
          <wp:effectExtent l="19050" t="0" r="0" b="0"/>
          <wp:wrapNone/>
          <wp:docPr id="9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2E47" w:rsidRDefault="00472E47" w:rsidP="00700884">
    <w:pPr>
      <w:rPr>
        <w:b/>
        <w:sz w:val="32"/>
      </w:rPr>
    </w:pPr>
  </w:p>
  <w:p w:rsidR="00472E47" w:rsidRDefault="00472E47" w:rsidP="00700884">
    <w:pPr>
      <w:rPr>
        <w:b/>
        <w:sz w:val="32"/>
      </w:rPr>
    </w:pPr>
  </w:p>
  <w:p w:rsidR="00472E47" w:rsidRPr="004B52D0" w:rsidRDefault="00472E47" w:rsidP="00700884">
    <w:pPr>
      <w:rPr>
        <w:rFonts w:cs="Calibri"/>
        <w:b/>
        <w:sz w:val="16"/>
        <w:szCs w:val="16"/>
      </w:rPr>
    </w:pPr>
  </w:p>
  <w:p w:rsidR="00472E47" w:rsidRPr="004B52D0" w:rsidRDefault="00472E47" w:rsidP="00700884">
    <w:pPr>
      <w:rPr>
        <w:rFonts w:cs="Calibri"/>
        <w:color w:val="0000FF"/>
        <w:sz w:val="16"/>
        <w:szCs w:val="16"/>
      </w:rPr>
    </w:pPr>
  </w:p>
  <w:p w:rsidR="00472E47" w:rsidRPr="004B52D0" w:rsidRDefault="00472E47" w:rsidP="00700884">
    <w:pPr>
      <w:rPr>
        <w:rFonts w:cs="Calibri"/>
        <w:color w:val="0000FF"/>
        <w:sz w:val="16"/>
        <w:szCs w:val="16"/>
      </w:rPr>
    </w:pPr>
  </w:p>
  <w:p w:rsidR="00700884" w:rsidRPr="00700884" w:rsidRDefault="00612C05" w:rsidP="00640B5C">
    <w:pPr>
      <w:ind w:right="-290"/>
      <w:rPr>
        <w:color w:val="0000FF"/>
      </w:rPr>
    </w:pPr>
    <w:r w:rsidRPr="00612C05">
      <w:rPr>
        <w:rFonts w:cs="Calibri"/>
        <w:noProof/>
        <w:color w:val="3366FF"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0.7pt;margin-top:8.4pt;width:141.75pt;height:79.45pt;z-index:251656192;mso-width-relative:margin;mso-height-relative:margin" filled="f" stroked="f">
          <v:textbox style="mso-next-textbox:#_x0000_s2049">
            <w:txbxContent>
              <w:p w:rsidR="00472E47" w:rsidRPr="004B52D0" w:rsidRDefault="00D46406" w:rsidP="00640B5C">
                <w:pPr>
                  <w:shd w:val="solid" w:color="FFFFFF" w:fill="FFFFFF"/>
                  <w:ind w:right="136"/>
                  <w:jc w:val="right"/>
                  <w:rPr>
                    <w:rFonts w:cs="Calibri"/>
                    <w:color w:val="44808A"/>
                    <w:sz w:val="18"/>
                    <w:szCs w:val="18"/>
                  </w:rPr>
                </w:pPr>
                <w:r w:rsidRPr="004B52D0">
                  <w:rPr>
                    <w:rFonts w:cs="Calibri"/>
                    <w:color w:val="44808A"/>
                    <w:sz w:val="18"/>
                    <w:szCs w:val="18"/>
                  </w:rPr>
                  <w:t>Lerchenstrasse 28 a</w:t>
                </w:r>
              </w:p>
              <w:p w:rsidR="00472E47" w:rsidRPr="004B52D0" w:rsidRDefault="00472E47" w:rsidP="00640B5C">
                <w:pPr>
                  <w:shd w:val="solid" w:color="FFFFFF" w:fill="FFFFFF"/>
                  <w:ind w:right="136"/>
                  <w:jc w:val="right"/>
                  <w:rPr>
                    <w:rFonts w:cs="Calibri"/>
                    <w:color w:val="44808A"/>
                    <w:sz w:val="18"/>
                    <w:szCs w:val="18"/>
                  </w:rPr>
                </w:pPr>
                <w:r w:rsidRPr="004B52D0">
                  <w:rPr>
                    <w:rFonts w:cs="Calibri"/>
                    <w:color w:val="44808A"/>
                    <w:sz w:val="18"/>
                    <w:szCs w:val="18"/>
                  </w:rPr>
                  <w:t>2</w:t>
                </w:r>
                <w:r w:rsidR="00D46406" w:rsidRPr="004B52D0">
                  <w:rPr>
                    <w:rFonts w:cs="Calibri"/>
                    <w:color w:val="44808A"/>
                    <w:sz w:val="18"/>
                    <w:szCs w:val="18"/>
                  </w:rPr>
                  <w:t>2767</w:t>
                </w:r>
                <w:r w:rsidRPr="004B52D0">
                  <w:rPr>
                    <w:rFonts w:cs="Calibri"/>
                    <w:color w:val="44808A"/>
                    <w:sz w:val="18"/>
                    <w:szCs w:val="18"/>
                  </w:rPr>
                  <w:t xml:space="preserve"> Hamburg</w:t>
                </w:r>
              </w:p>
              <w:p w:rsidR="00472E47" w:rsidRPr="004B52D0" w:rsidRDefault="00D46406" w:rsidP="00640B5C">
                <w:pPr>
                  <w:shd w:val="solid" w:color="FFFFFF" w:fill="FFFFFF"/>
                  <w:ind w:right="136"/>
                  <w:jc w:val="right"/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</w:pPr>
                <w:r w:rsidRPr="004B52D0"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  <w:t>Tel. 040 3980 6130</w:t>
                </w:r>
              </w:p>
              <w:p w:rsidR="00472E47" w:rsidRPr="004B52D0" w:rsidRDefault="00D46406" w:rsidP="00640B5C">
                <w:pPr>
                  <w:shd w:val="solid" w:color="FFFFFF" w:fill="FFFFFF"/>
                  <w:ind w:right="136"/>
                  <w:jc w:val="right"/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</w:pPr>
                <w:r w:rsidRPr="004B52D0"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  <w:t>Fax 040 3980 6131</w:t>
                </w:r>
              </w:p>
              <w:p w:rsidR="00472E47" w:rsidRPr="004B52D0" w:rsidRDefault="00EB4B54" w:rsidP="00640B5C">
                <w:pPr>
                  <w:shd w:val="solid" w:color="FFFFFF" w:fill="FFFFFF"/>
                  <w:ind w:right="136"/>
                  <w:jc w:val="right"/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</w:pPr>
                <w:r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  <w:t>donat</w:t>
                </w:r>
                <w:r w:rsidR="00472E47" w:rsidRPr="004B52D0">
                  <w:rPr>
                    <w:rFonts w:cs="Calibri"/>
                    <w:color w:val="44808A"/>
                    <w:sz w:val="18"/>
                    <w:szCs w:val="18"/>
                    <w:lang w:val="en-US"/>
                  </w:rPr>
                  <w:t>@ulrike-donat.de</w:t>
                </w:r>
              </w:p>
              <w:p w:rsidR="00472E47" w:rsidRPr="004B52D0" w:rsidRDefault="00472E47" w:rsidP="00640B5C">
                <w:pPr>
                  <w:ind w:right="136"/>
                  <w:jc w:val="right"/>
                  <w:rPr>
                    <w:rFonts w:cs="Calibri"/>
                    <w:color w:val="44808A"/>
                    <w:sz w:val="18"/>
                    <w:szCs w:val="18"/>
                  </w:rPr>
                </w:pPr>
                <w:r w:rsidRPr="004B52D0">
                  <w:rPr>
                    <w:rFonts w:cs="Calibri"/>
                    <w:color w:val="44808A"/>
                    <w:sz w:val="18"/>
                    <w:szCs w:val="18"/>
                  </w:rPr>
                  <w:t>www.ulrike-donat.de</w:t>
                </w:r>
              </w:p>
            </w:txbxContent>
          </v:textbox>
        </v:shape>
      </w:pict>
    </w:r>
    <w:r w:rsidRPr="00612C05">
      <w:rPr>
        <w:b/>
        <w:noProof/>
        <w:sz w:val="32"/>
      </w:rPr>
      <w:pict>
        <v:shape id="_x0000_s2054" type="#_x0000_t202" style="position:absolute;margin-left:-.35pt;margin-top:9.75pt;width:196.4pt;height:14.4pt;z-index:251658240" filled="f" stroked="f">
          <v:textbox style="mso-next-textbox:#_x0000_s2054" inset="0">
            <w:txbxContent>
              <w:p w:rsidR="00700884" w:rsidRPr="004B52D0" w:rsidRDefault="00700884">
                <w:pPr>
                  <w:rPr>
                    <w:rFonts w:cs="Calibri"/>
                    <w:color w:val="44808A"/>
                    <w:sz w:val="14"/>
                    <w:szCs w:val="14"/>
                  </w:rPr>
                </w:pPr>
                <w:r w:rsidRPr="004B52D0">
                  <w:rPr>
                    <w:rFonts w:cs="Calibri"/>
                    <w:color w:val="44808A"/>
                    <w:sz w:val="14"/>
                    <w:szCs w:val="14"/>
                  </w:rPr>
                  <w:t>U. Donat – Rechtsanwältin • Lerchenstr. 28 a • 22767 Hamburg</w:t>
                </w:r>
              </w:p>
            </w:txbxContent>
          </v:textbox>
        </v:shape>
      </w:pict>
    </w:r>
    <w:r w:rsidR="00404178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3758565</wp:posOffset>
          </wp:positionV>
          <wp:extent cx="575945" cy="28575"/>
          <wp:effectExtent l="19050" t="0" r="0" b="0"/>
          <wp:wrapNone/>
          <wp:docPr id="8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3E0"/>
    <w:multiLevelType w:val="hybridMultilevel"/>
    <w:tmpl w:val="CB286E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73AD"/>
    <w:multiLevelType w:val="hybridMultilevel"/>
    <w:tmpl w:val="ED1273DE"/>
    <w:lvl w:ilvl="0" w:tplc="0407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intFractionalCharacterWidth/>
  <w:embedSystemFonts/>
  <w:hideSpellingErrors/>
  <w:proofState w:spelling="clean" w:grammar="clean"/>
  <w:attachedTemplate r:id="rId1"/>
  <w:stylePaneFormatFilter w:val="3F01"/>
  <w:defaultTabStop w:val="709"/>
  <w:autoHyphenation/>
  <w:hyphenationZone w:val="17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«Benutzer»" w:val="do"/>
    <w:docVar w:name="database" w:val="DONAT"/>
    <w:docVar w:name="history" w:val="Schreiben an"/>
    <w:docVar w:name="IPSpeechSession$" w:val="FALSE"/>
    <w:docVar w:name="IPSpeechSessionSaved$" w:val="FALSE"/>
    <w:docVar w:name="nr" w:val="2014000025"/>
    <w:docVar w:name="speichern" w:val="ja"/>
  </w:docVars>
  <w:rsids>
    <w:rsidRoot w:val="00382DCC"/>
    <w:rsid w:val="000116C9"/>
    <w:rsid w:val="00073525"/>
    <w:rsid w:val="000750A2"/>
    <w:rsid w:val="00092ECB"/>
    <w:rsid w:val="00094C70"/>
    <w:rsid w:val="00103333"/>
    <w:rsid w:val="0014017E"/>
    <w:rsid w:val="00191398"/>
    <w:rsid w:val="001C793C"/>
    <w:rsid w:val="001D461F"/>
    <w:rsid w:val="002324EA"/>
    <w:rsid w:val="00234498"/>
    <w:rsid w:val="00295882"/>
    <w:rsid w:val="002C4AC8"/>
    <w:rsid w:val="002D63E7"/>
    <w:rsid w:val="002E30D9"/>
    <w:rsid w:val="003438EC"/>
    <w:rsid w:val="003547E3"/>
    <w:rsid w:val="00382DCC"/>
    <w:rsid w:val="003A0FA5"/>
    <w:rsid w:val="00404178"/>
    <w:rsid w:val="00462552"/>
    <w:rsid w:val="00472E47"/>
    <w:rsid w:val="004B1069"/>
    <w:rsid w:val="004B52D0"/>
    <w:rsid w:val="004E095F"/>
    <w:rsid w:val="005004C3"/>
    <w:rsid w:val="005325D9"/>
    <w:rsid w:val="00546C7F"/>
    <w:rsid w:val="00562509"/>
    <w:rsid w:val="0057550D"/>
    <w:rsid w:val="00593FDF"/>
    <w:rsid w:val="005C3423"/>
    <w:rsid w:val="005E24BB"/>
    <w:rsid w:val="005F7354"/>
    <w:rsid w:val="00612C05"/>
    <w:rsid w:val="006274B5"/>
    <w:rsid w:val="00640B5C"/>
    <w:rsid w:val="00641474"/>
    <w:rsid w:val="006A6C5F"/>
    <w:rsid w:val="006C0AEB"/>
    <w:rsid w:val="006D67C9"/>
    <w:rsid w:val="006F5653"/>
    <w:rsid w:val="00700884"/>
    <w:rsid w:val="00777E7C"/>
    <w:rsid w:val="00784DA5"/>
    <w:rsid w:val="00796CF6"/>
    <w:rsid w:val="007D6620"/>
    <w:rsid w:val="00806C67"/>
    <w:rsid w:val="008377B3"/>
    <w:rsid w:val="00870E9C"/>
    <w:rsid w:val="008E02ED"/>
    <w:rsid w:val="00906EF6"/>
    <w:rsid w:val="009205E7"/>
    <w:rsid w:val="009554B7"/>
    <w:rsid w:val="00965074"/>
    <w:rsid w:val="0099329D"/>
    <w:rsid w:val="009B4ABD"/>
    <w:rsid w:val="00A8023C"/>
    <w:rsid w:val="00AC13D3"/>
    <w:rsid w:val="00AE2F6B"/>
    <w:rsid w:val="00B00476"/>
    <w:rsid w:val="00B60034"/>
    <w:rsid w:val="00B6264F"/>
    <w:rsid w:val="00BB3BD3"/>
    <w:rsid w:val="00BD1E1C"/>
    <w:rsid w:val="00BD3619"/>
    <w:rsid w:val="00C31C15"/>
    <w:rsid w:val="00C873E1"/>
    <w:rsid w:val="00CD7E87"/>
    <w:rsid w:val="00D128EF"/>
    <w:rsid w:val="00D304E9"/>
    <w:rsid w:val="00D458CC"/>
    <w:rsid w:val="00D46406"/>
    <w:rsid w:val="00D50CD1"/>
    <w:rsid w:val="00D644D9"/>
    <w:rsid w:val="00D725D7"/>
    <w:rsid w:val="00D94159"/>
    <w:rsid w:val="00D96F79"/>
    <w:rsid w:val="00DD705D"/>
    <w:rsid w:val="00E72B4B"/>
    <w:rsid w:val="00E77850"/>
    <w:rsid w:val="00E82E9F"/>
    <w:rsid w:val="00E87407"/>
    <w:rsid w:val="00EB4B54"/>
    <w:rsid w:val="00EF7FD5"/>
    <w:rsid w:val="00F609BD"/>
    <w:rsid w:val="00F65AE6"/>
    <w:rsid w:val="00F975FC"/>
    <w:rsid w:val="00FB0943"/>
    <w:rsid w:val="00FE3CEC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4C3"/>
    <w:rPr>
      <w:rFonts w:ascii="Calibri" w:hAnsi="Calibri"/>
      <w:sz w:val="24"/>
    </w:rPr>
  </w:style>
  <w:style w:type="paragraph" w:styleId="berschrift1">
    <w:name w:val="heading 1"/>
    <w:basedOn w:val="Standard"/>
    <w:next w:val="Standard"/>
    <w:qFormat/>
    <w:rsid w:val="00641474"/>
    <w:pPr>
      <w:spacing w:before="240"/>
      <w:outlineLvl w:val="0"/>
    </w:pPr>
    <w:rPr>
      <w:rFonts w:ascii="MS Sans Serif" w:hAnsi="MS Sans Serif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641474"/>
    <w:pPr>
      <w:tabs>
        <w:tab w:val="center" w:pos="4819"/>
        <w:tab w:val="right" w:pos="9071"/>
      </w:tabs>
    </w:pPr>
    <w:rPr>
      <w:sz w:val="16"/>
    </w:rPr>
  </w:style>
  <w:style w:type="paragraph" w:styleId="Kopfzeile">
    <w:name w:val="header"/>
    <w:link w:val="KopfzeileZchn"/>
    <w:uiPriority w:val="99"/>
    <w:rsid w:val="00641474"/>
    <w:pPr>
      <w:tabs>
        <w:tab w:val="center" w:pos="1021"/>
        <w:tab w:val="center" w:pos="4820"/>
        <w:tab w:val="center" w:pos="7938"/>
      </w:tabs>
    </w:pPr>
  </w:style>
  <w:style w:type="paragraph" w:customStyle="1" w:styleId="Kopfzeile1">
    <w:name w:val="Kopfzeile 1"/>
    <w:rsid w:val="00641474"/>
    <w:pPr>
      <w:tabs>
        <w:tab w:val="center" w:pos="1701"/>
        <w:tab w:val="center" w:pos="7939"/>
      </w:tabs>
      <w:spacing w:before="120"/>
    </w:pPr>
    <w:rPr>
      <w:rFonts w:ascii="Arial" w:hAnsi="Arial"/>
      <w:b/>
      <w:spacing w:val="60"/>
      <w:sz w:val="22"/>
    </w:rPr>
  </w:style>
  <w:style w:type="paragraph" w:customStyle="1" w:styleId="Kopfzeile2">
    <w:name w:val="Kopfzeile 2"/>
    <w:basedOn w:val="Kopfzeile1"/>
    <w:rsid w:val="00641474"/>
    <w:pPr>
      <w:spacing w:before="170"/>
    </w:pPr>
    <w:rPr>
      <w:sz w:val="18"/>
    </w:rPr>
  </w:style>
  <w:style w:type="paragraph" w:customStyle="1" w:styleId="Kopflinie">
    <w:name w:val="Kopflinie"/>
    <w:rsid w:val="00641474"/>
    <w:pPr>
      <w:pBdr>
        <w:bottom w:val="single" w:sz="6" w:space="1" w:color="auto"/>
        <w:between w:val="single" w:sz="6" w:space="1" w:color="auto"/>
      </w:pBdr>
      <w:spacing w:after="72"/>
    </w:pPr>
  </w:style>
  <w:style w:type="paragraph" w:customStyle="1" w:styleId="Fuzeile1">
    <w:name w:val="Fußzeile 1"/>
    <w:rsid w:val="00641474"/>
    <w:pPr>
      <w:tabs>
        <w:tab w:val="left" w:pos="2155"/>
        <w:tab w:val="left" w:pos="3742"/>
        <w:tab w:val="left" w:pos="6010"/>
        <w:tab w:val="left" w:pos="8222"/>
      </w:tabs>
    </w:pPr>
    <w:rPr>
      <w:rFonts w:ascii="Arial" w:hAnsi="Arial"/>
      <w:sz w:val="16"/>
    </w:rPr>
  </w:style>
  <w:style w:type="paragraph" w:customStyle="1" w:styleId="Fuzeile2-n">
    <w:name w:val="Fußzeile 2 - n"/>
    <w:basedOn w:val="Fuzeile1"/>
    <w:rsid w:val="00641474"/>
    <w:rPr>
      <w:sz w:val="14"/>
    </w:rPr>
  </w:style>
  <w:style w:type="paragraph" w:customStyle="1" w:styleId="Titelzeile">
    <w:name w:val="Titelzeile"/>
    <w:basedOn w:val="Standard"/>
    <w:rsid w:val="00641474"/>
    <w:pPr>
      <w:tabs>
        <w:tab w:val="right" w:pos="9979"/>
      </w:tabs>
    </w:pPr>
  </w:style>
  <w:style w:type="character" w:styleId="Seitenzahl">
    <w:name w:val="page number"/>
    <w:basedOn w:val="Absatz-Standardschriftart"/>
    <w:rsid w:val="00641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B4B"/>
    <w:rPr>
      <w:rFonts w:ascii="Tahoma" w:hAnsi="Tahoma"/>
      <w:sz w:val="16"/>
      <w:szCs w:val="16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E72B4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FF6321"/>
    <w:rPr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382DCC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F975FC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975FC"/>
    <w:rPr>
      <w:rFonts w:ascii="Calibri" w:hAnsi="Calibri"/>
    </w:rPr>
  </w:style>
  <w:style w:type="character" w:styleId="Endnotenzeichen">
    <w:name w:val="endnote reference"/>
    <w:basedOn w:val="Absatz-Standardschriftart"/>
    <w:uiPriority w:val="99"/>
    <w:semiHidden/>
    <w:unhideWhenUsed/>
    <w:rsid w:val="00F975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voWeb\Advoware\Dot\dona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03D8-09D8-4E7E-9233-73B1F957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donat.dot</Template>
  <TotalTime>0</TotalTime>
  <Pages>3</Pages>
  <Words>680</Words>
  <Characters>4706</Characters>
  <Application>Microsoft Office Word</Application>
  <DocSecurity>0</DocSecurity>
  <Lines>522</Lines>
  <Paragraphs>359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19062015-wer nicht aufräumt.docx</vt:lpstr>
    </vt:vector>
  </TitlesOfParts>
  <Company>Advo-web GmbH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19062015-wer nicht aufräumt.docx</dc:title>
  <dc:subject/>
  <dc:creator>Lenovo User</dc:creator>
  <cp:keywords>2014000025</cp:keywords>
  <dc:description/>
  <cp:lastModifiedBy>Lenovo User</cp:lastModifiedBy>
  <cp:revision>2</cp:revision>
  <cp:lastPrinted>2012-11-28T11:47:00Z</cp:lastPrinted>
  <dcterms:created xsi:type="dcterms:W3CDTF">2015-06-19T16:41:00Z</dcterms:created>
  <dcterms:modified xsi:type="dcterms:W3CDTF">2015-06-19T17:41:00Z</dcterms:modified>
</cp:coreProperties>
</file>