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B" w:rsidRDefault="00B135C6" w:rsidP="00B135C6">
      <w:pPr>
        <w:jc w:val="center"/>
        <w:rPr>
          <w:sz w:val="32"/>
          <w:szCs w:val="32"/>
        </w:rPr>
      </w:pPr>
      <w:r w:rsidRPr="00B135C6">
        <w:rPr>
          <w:sz w:val="32"/>
          <w:szCs w:val="32"/>
        </w:rPr>
        <w:t>Atomendlager ohne Atomrecht</w:t>
      </w:r>
    </w:p>
    <w:p w:rsidR="00B135C6" w:rsidRDefault="00B135C6" w:rsidP="00B135C6">
      <w:pPr>
        <w:jc w:val="both"/>
        <w:rPr>
          <w:sz w:val="24"/>
          <w:szCs w:val="24"/>
        </w:rPr>
      </w:pP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135C6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>Die rechtliche Vorgehensweise bei der Erkundung des Salzstocks Gorleben war davon bestimmt, die einmal vom Kabinett Albrecht getroffene Standortwahl nicht mehr in Frage stellen zu lassen.</w:t>
      </w:r>
    </w:p>
    <w:p w:rsidR="00B135C6" w:rsidRDefault="00B135C6" w:rsidP="00B135C6">
      <w:pPr>
        <w:jc w:val="both"/>
        <w:rPr>
          <w:sz w:val="24"/>
          <w:szCs w:val="24"/>
        </w:rPr>
      </w:pP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 diente der Genehmigungsweg über das Bergrecht, weil damit 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ohne Öffentlichkeitsbeteiligung, 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ohne Umweltverträglichkeitsprüfung, 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ohne Standortrechtfertigung und 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ohne Nachweis </w:t>
      </w:r>
      <w:r w:rsidR="00A806FB">
        <w:rPr>
          <w:sz w:val="24"/>
          <w:szCs w:val="24"/>
        </w:rPr>
        <w:t xml:space="preserve">der Einhaltung </w:t>
      </w:r>
      <w:r>
        <w:rPr>
          <w:sz w:val="24"/>
          <w:szCs w:val="24"/>
        </w:rPr>
        <w:t xml:space="preserve">atomrechtlicher Schutzvorschriften </w:t>
      </w:r>
    </w:p>
    <w:p w:rsidR="00B135C6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>das für die Endlagerung benötigte Bergwerk nahezu fertig gestellt werden konnte.</w:t>
      </w:r>
    </w:p>
    <w:p w:rsidR="00B135C6" w:rsidRDefault="00B135C6" w:rsidP="00B135C6">
      <w:pPr>
        <w:jc w:val="both"/>
        <w:rPr>
          <w:sz w:val="24"/>
          <w:szCs w:val="24"/>
        </w:rPr>
      </w:pPr>
    </w:p>
    <w:p w:rsidR="00A806FB" w:rsidRDefault="00A806FB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35C6">
        <w:rPr>
          <w:sz w:val="24"/>
          <w:szCs w:val="24"/>
        </w:rPr>
        <w:t>.</w:t>
      </w:r>
    </w:p>
    <w:p w:rsidR="00A806FB" w:rsidRDefault="00B135C6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Dieser Weg wurde gegen Kritik seit 79 durchgehalten trotz</w:t>
      </w:r>
      <w:r w:rsidR="00A806FB">
        <w:rPr>
          <w:sz w:val="24"/>
          <w:szCs w:val="24"/>
        </w:rPr>
        <w:t xml:space="preserve"> Änderungen des Rechts (UVP und Öffentlichkeitsbeteiligung auch im Bergrecht) und der tatsächlichen Gegebenheiten (Verkleinerung des Erkundungsgebiets und Verlegung;  Abkehr vom Ein-Endlager-Konzept). </w:t>
      </w:r>
    </w:p>
    <w:p w:rsidR="00A806FB" w:rsidRDefault="00A806FB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B135C6" w:rsidRPr="00B135C6" w:rsidRDefault="00A806FB" w:rsidP="00B13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StandAG</w:t>
      </w:r>
      <w:proofErr w:type="spellEnd"/>
      <w:r>
        <w:rPr>
          <w:sz w:val="24"/>
          <w:szCs w:val="24"/>
        </w:rPr>
        <w:t xml:space="preserve"> in jetziger Fassung ist keine eindeutige Abkehr von diesem Weg. Hier ist die Kommission gefragt.        </w:t>
      </w:r>
    </w:p>
    <w:p w:rsidR="00B135C6" w:rsidRPr="00B135C6" w:rsidRDefault="00B135C6" w:rsidP="00B135C6">
      <w:pPr>
        <w:jc w:val="both"/>
        <w:rPr>
          <w:sz w:val="28"/>
          <w:szCs w:val="28"/>
        </w:rPr>
      </w:pPr>
    </w:p>
    <w:sectPr w:rsidR="00B135C6" w:rsidRPr="00B13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C6D2319-2432-44C3-9E54-1EA544824892}"/>
    <w:docVar w:name="dgnword-eventsink" w:val="169042744"/>
  </w:docVars>
  <w:rsids>
    <w:rsidRoot w:val="00B135C6"/>
    <w:rsid w:val="004F340B"/>
    <w:rsid w:val="00617CE3"/>
    <w:rsid w:val="00A806FB"/>
    <w:rsid w:val="00B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2016-01-22T07:39:00Z</dcterms:created>
  <dcterms:modified xsi:type="dcterms:W3CDTF">2016-01-22T07:59:00Z</dcterms:modified>
</cp:coreProperties>
</file>