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0B" w:rsidRDefault="00B135C6" w:rsidP="00B135C6">
      <w:pPr>
        <w:jc w:val="center"/>
        <w:rPr>
          <w:sz w:val="32"/>
          <w:szCs w:val="32"/>
        </w:rPr>
      </w:pPr>
      <w:r w:rsidRPr="00B135C6">
        <w:rPr>
          <w:sz w:val="32"/>
          <w:szCs w:val="32"/>
        </w:rPr>
        <w:t>Atomendlager ohne Atomrecht</w:t>
      </w:r>
    </w:p>
    <w:p w:rsidR="00B135C6" w:rsidRDefault="00B135C6" w:rsidP="00B135C6">
      <w:pPr>
        <w:jc w:val="both"/>
        <w:rPr>
          <w:sz w:val="24"/>
          <w:szCs w:val="24"/>
        </w:rPr>
      </w:pPr>
    </w:p>
    <w:p w:rsidR="00A806FB" w:rsidRDefault="00B135C6" w:rsidP="00B135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B135C6" w:rsidRDefault="00B135C6" w:rsidP="00B135C6">
      <w:pPr>
        <w:jc w:val="both"/>
        <w:rPr>
          <w:sz w:val="24"/>
          <w:szCs w:val="24"/>
        </w:rPr>
      </w:pPr>
      <w:r>
        <w:rPr>
          <w:sz w:val="24"/>
          <w:szCs w:val="24"/>
        </w:rPr>
        <w:t>Die rechtliche Vorgehensweise bei der Erkundung des Salzstocks Gorleben war davon bestimmt, die einmal vom Kabinett Albrecht getroffene Standortwahl nicht mehr in Frage stellen zu lassen.</w:t>
      </w:r>
    </w:p>
    <w:p w:rsidR="00B135C6" w:rsidRDefault="00B135C6" w:rsidP="00B135C6">
      <w:pPr>
        <w:jc w:val="both"/>
        <w:rPr>
          <w:sz w:val="24"/>
          <w:szCs w:val="24"/>
        </w:rPr>
      </w:pPr>
    </w:p>
    <w:p w:rsidR="00A806FB" w:rsidRDefault="00B135C6" w:rsidP="00B135C6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A806FB" w:rsidRDefault="00B135C6" w:rsidP="00B135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 diente der Genehmigungsweg über das Bergrecht, weil damit </w:t>
      </w:r>
    </w:p>
    <w:p w:rsidR="00A806FB" w:rsidRDefault="00B135C6" w:rsidP="00B135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ohne Öffentlichkeitsbeteiligung, </w:t>
      </w:r>
    </w:p>
    <w:p w:rsidR="00A806FB" w:rsidRDefault="00B135C6" w:rsidP="00B135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ohne Umweltverträglichkeitsprüfung, </w:t>
      </w:r>
    </w:p>
    <w:p w:rsidR="00A806FB" w:rsidRDefault="00B135C6" w:rsidP="00B135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ohne Standortrechtfertigung und </w:t>
      </w:r>
    </w:p>
    <w:p w:rsidR="00A806FB" w:rsidRDefault="00B135C6" w:rsidP="00B135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ohne Nachweis </w:t>
      </w:r>
      <w:r w:rsidR="00A806FB">
        <w:rPr>
          <w:sz w:val="24"/>
          <w:szCs w:val="24"/>
        </w:rPr>
        <w:t xml:space="preserve">der Einhaltung </w:t>
      </w:r>
      <w:r>
        <w:rPr>
          <w:sz w:val="24"/>
          <w:szCs w:val="24"/>
        </w:rPr>
        <w:t xml:space="preserve">atomrechtlicher Schutzvorschriften </w:t>
      </w:r>
    </w:p>
    <w:p w:rsidR="00B135C6" w:rsidRDefault="00B135C6" w:rsidP="00B135C6">
      <w:pPr>
        <w:jc w:val="both"/>
        <w:rPr>
          <w:sz w:val="24"/>
          <w:szCs w:val="24"/>
        </w:rPr>
      </w:pPr>
      <w:r>
        <w:rPr>
          <w:sz w:val="24"/>
          <w:szCs w:val="24"/>
        </w:rPr>
        <w:t>das für die Endlagerung benötigte Bergwerk nahezu fertig gestellt werden konnte.</w:t>
      </w:r>
    </w:p>
    <w:p w:rsidR="00B135C6" w:rsidRDefault="00B135C6" w:rsidP="00B135C6">
      <w:pPr>
        <w:jc w:val="both"/>
        <w:rPr>
          <w:sz w:val="24"/>
          <w:szCs w:val="24"/>
        </w:rPr>
      </w:pPr>
    </w:p>
    <w:p w:rsidR="00A806FB" w:rsidRDefault="00A806FB" w:rsidP="00B135C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135C6">
        <w:rPr>
          <w:sz w:val="24"/>
          <w:szCs w:val="24"/>
        </w:rPr>
        <w:t>.</w:t>
      </w:r>
    </w:p>
    <w:p w:rsidR="00A806FB" w:rsidRDefault="00B135C6" w:rsidP="00B135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Dieser Weg wurde gegen Kritik seit 79 durchgehalten trotz</w:t>
      </w:r>
      <w:r w:rsidR="00A806FB">
        <w:rPr>
          <w:sz w:val="24"/>
          <w:szCs w:val="24"/>
        </w:rPr>
        <w:t xml:space="preserve"> Änderungen des Rechts (UVP und Öffentlichkeitsbeteiligung auch im Bergrecht) und der tatsächlichen Gegebenheiten (Verkleinerung des Erkundungsgebiets und Verlegung;  Abkehr vom Ein-Endlager-Konzept). </w:t>
      </w:r>
    </w:p>
    <w:p w:rsidR="00A806FB" w:rsidRDefault="00A806FB" w:rsidP="00B135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</w:p>
    <w:p w:rsidR="00B135C6" w:rsidRPr="00B135C6" w:rsidRDefault="00A806FB" w:rsidP="00B135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Das </w:t>
      </w:r>
      <w:proofErr w:type="spellStart"/>
      <w:r>
        <w:rPr>
          <w:sz w:val="24"/>
          <w:szCs w:val="24"/>
        </w:rPr>
        <w:t>StandAG</w:t>
      </w:r>
      <w:proofErr w:type="spellEnd"/>
      <w:r>
        <w:rPr>
          <w:sz w:val="24"/>
          <w:szCs w:val="24"/>
        </w:rPr>
        <w:t xml:space="preserve"> in jetziger Fassung ist keine eindeutige Abkehr von diesem Weg. Hier ist die Kommission gefragt.        </w:t>
      </w:r>
    </w:p>
    <w:p w:rsidR="00B135C6" w:rsidRPr="00B135C6" w:rsidRDefault="00B135C6" w:rsidP="00B135C6">
      <w:pPr>
        <w:jc w:val="both"/>
        <w:rPr>
          <w:sz w:val="28"/>
          <w:szCs w:val="28"/>
        </w:rPr>
      </w:pPr>
    </w:p>
    <w:sectPr w:rsidR="00B135C6" w:rsidRPr="00B135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C6D2319-2432-44C3-9E54-1EA544824892}"/>
    <w:docVar w:name="dgnword-eventsink" w:val="169042744"/>
  </w:docVars>
  <w:rsids>
    <w:rsidRoot w:val="00B135C6"/>
    <w:rsid w:val="004F340B"/>
    <w:rsid w:val="00617CE3"/>
    <w:rsid w:val="00A806FB"/>
    <w:rsid w:val="00B1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</dc:creator>
  <cp:lastModifiedBy>Niko</cp:lastModifiedBy>
  <cp:revision>1</cp:revision>
  <dcterms:created xsi:type="dcterms:W3CDTF">2016-01-22T07:39:00Z</dcterms:created>
  <dcterms:modified xsi:type="dcterms:W3CDTF">2016-01-22T07:59:00Z</dcterms:modified>
</cp:coreProperties>
</file>